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65D2" w:rsidP="000865D2" w:rsidRDefault="000865D2" w14:paraId="0DFAE634" wp14:textId="77777777">
      <w:pPr>
        <w:tabs>
          <w:tab w:val="center" w:pos="5040"/>
          <w:tab w:val="right" w:pos="9900"/>
        </w:tabs>
        <w:jc w:val="right"/>
      </w:pPr>
      <w:r>
        <w:t xml:space="preserve">  </w:t>
      </w:r>
      <w:r>
        <w:object w:dxaOrig="2400" w:dyaOrig="1635" w14:anchorId="533F2B3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o:ole="" type="#_x0000_t75">
            <v:imagedata o:title="" r:id="rId9"/>
          </v:shape>
          <o:OLEObject Type="Embed" ProgID="MSPhotoEd.3" ShapeID="_x0000_i1025" DrawAspect="Content" ObjectID="_1690153359" r:id="rId10"/>
        </w:object>
      </w:r>
    </w:p>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B67B6" w:rsidR="000865D2" w:rsidP="009409F4"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3B73A6E3" w14:paraId="48CB0C73"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Pr="00AB418C" w:rsidR="000865D2" w:rsidP="00BA2DCE" w:rsidRDefault="00CB67B6" w14:paraId="1BF27EB3" wp14:textId="77777777">
            <w:pPr>
              <w:pStyle w:val="BodyText"/>
              <w:jc w:val="left"/>
              <w:rPr>
                <w:rFonts w:ascii="Arial" w:hAnsi="Arial" w:cs="Arial"/>
                <w:szCs w:val="22"/>
              </w:rPr>
            </w:pPr>
            <w:r w:rsidRPr="00AB418C">
              <w:rPr>
                <w:rFonts w:ascii="Arial" w:hAnsi="Arial" w:cs="Arial"/>
                <w:szCs w:val="22"/>
              </w:rPr>
              <w:t xml:space="preserve">FY1 </w:t>
            </w:r>
            <w:r w:rsidR="00AC5CC9">
              <w:rPr>
                <w:rFonts w:ascii="Arial" w:hAnsi="Arial" w:cs="Arial"/>
                <w:szCs w:val="22"/>
              </w:rPr>
              <w:t xml:space="preserve">- </w:t>
            </w:r>
            <w:r w:rsidRPr="00AB418C" w:rsidR="00BA2DCE">
              <w:rPr>
                <w:rFonts w:ascii="Arial" w:hAnsi="Arial" w:cs="Arial"/>
                <w:szCs w:val="22"/>
              </w:rPr>
              <w:t>General Surgery (Upper GI/Colorectal/Breast)</w:t>
            </w:r>
          </w:p>
        </w:tc>
      </w:tr>
      <w:tr xmlns:wp14="http://schemas.microsoft.com/office/word/2010/wordml" w:rsidRPr="004F4EE0" w:rsidR="000865D2" w:rsidTr="3B73A6E3" w14:paraId="165364B9"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1D2A74" w:rsidR="000865D2" w:rsidP="00231FC5" w:rsidRDefault="00231FC5" w14:paraId="150BD96A" wp14:textId="77777777">
            <w:pPr>
              <w:spacing w:after="150" w:line="300" w:lineRule="atLeast"/>
              <w:rPr>
                <w:rFonts w:ascii="Arial" w:hAnsi="Arial" w:cs="Arial"/>
                <w:sz w:val="22"/>
                <w:szCs w:val="22"/>
                <w:lang w:val="en-GB" w:eastAsia="en-GB"/>
              </w:rPr>
            </w:pPr>
            <w:r w:rsidRPr="001D2A74">
              <w:rPr>
                <w:rFonts w:ascii="Arial" w:hAnsi="Arial" w:cs="Arial"/>
                <w:sz w:val="22"/>
                <w:szCs w:val="22"/>
                <w:lang w:val="en-GB" w:eastAsia="en-GB"/>
              </w:rPr>
              <w:t>The department provides a comprehensive range of surgical services for both emergency and elective surgical problems.  The team of consultant surgeons have experience in all types of general surgery including laparoscopic (key-hole) surgery.  In addition each consultant has a specialist interest in one or more surgical sub-specialties and who work closely with the trained clinical nurse specialists in that field.</w:t>
            </w:r>
          </w:p>
        </w:tc>
      </w:tr>
      <w:tr xmlns:wp14="http://schemas.microsoft.com/office/word/2010/wordml" w:rsidRPr="004F4EE0" w:rsidR="000865D2" w:rsidTr="3B73A6E3" w14:paraId="50E06787"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AB418C" w:rsidP="00CB67B6" w:rsidRDefault="00BA2DCE" w14:paraId="4C83C1CD" wp14:textId="77777777">
            <w:pPr>
              <w:pStyle w:val="BodyText"/>
              <w:jc w:val="left"/>
              <w:rPr>
                <w:rFonts w:ascii="Arial" w:hAnsi="Arial" w:cs="Arial"/>
              </w:rPr>
            </w:pPr>
            <w:r w:rsidRPr="00AB418C">
              <w:rPr>
                <w:rFonts w:ascii="Arial" w:hAnsi="Arial" w:cs="Arial"/>
              </w:rPr>
              <w:t xml:space="preserve">The Sub Specialties for this post are: </w:t>
            </w:r>
          </w:p>
          <w:p w:rsidR="00AB418C" w:rsidP="00AB418C" w:rsidRDefault="00EB0C79" w14:paraId="71A05790" wp14:textId="77777777">
            <w:pPr>
              <w:pStyle w:val="BodyText"/>
              <w:numPr>
                <w:ilvl w:val="0"/>
                <w:numId w:val="3"/>
              </w:numPr>
              <w:jc w:val="left"/>
              <w:rPr>
                <w:rFonts w:ascii="Arial" w:hAnsi="Arial" w:cs="Arial"/>
              </w:rPr>
            </w:pPr>
            <w:r>
              <w:rPr>
                <w:rFonts w:ascii="Arial" w:hAnsi="Arial" w:cs="Arial"/>
              </w:rPr>
              <w:t>Upper GI</w:t>
            </w:r>
          </w:p>
          <w:p w:rsidR="00AB418C" w:rsidP="00AB418C" w:rsidRDefault="00825F81" w14:paraId="47117AF7" wp14:textId="77777777">
            <w:pPr>
              <w:pStyle w:val="BodyText"/>
              <w:numPr>
                <w:ilvl w:val="0"/>
                <w:numId w:val="3"/>
              </w:numPr>
              <w:jc w:val="left"/>
              <w:rPr>
                <w:rFonts w:ascii="Arial" w:hAnsi="Arial" w:cs="Arial"/>
              </w:rPr>
            </w:pPr>
            <w:r>
              <w:rPr>
                <w:rFonts w:ascii="Arial" w:hAnsi="Arial" w:cs="Arial"/>
              </w:rPr>
              <w:t xml:space="preserve">Colorectal </w:t>
            </w:r>
          </w:p>
          <w:p w:rsidR="00825F81" w:rsidP="00AB418C" w:rsidRDefault="00825F81" w14:paraId="354657DD" wp14:textId="77777777">
            <w:pPr>
              <w:pStyle w:val="BodyText"/>
              <w:numPr>
                <w:ilvl w:val="0"/>
                <w:numId w:val="3"/>
              </w:numPr>
              <w:jc w:val="left"/>
              <w:rPr>
                <w:rFonts w:ascii="Arial" w:hAnsi="Arial" w:cs="Arial"/>
              </w:rPr>
            </w:pPr>
            <w:r>
              <w:rPr>
                <w:rFonts w:ascii="Arial" w:hAnsi="Arial" w:cs="Arial"/>
              </w:rPr>
              <w:t>Breast</w:t>
            </w:r>
          </w:p>
          <w:p w:rsidR="00AB418C" w:rsidP="00CB67B6" w:rsidRDefault="00AB418C" w14:paraId="0A37501D" wp14:textId="77777777">
            <w:pPr>
              <w:pStyle w:val="BodyText"/>
              <w:jc w:val="left"/>
              <w:rPr>
                <w:rFonts w:ascii="Arial" w:hAnsi="Arial" w:cs="Arial"/>
              </w:rPr>
            </w:pPr>
          </w:p>
          <w:p w:rsidR="000865D2" w:rsidP="00CB67B6" w:rsidRDefault="00BA2DCE" w14:paraId="5A6C8122" wp14:textId="77777777">
            <w:pPr>
              <w:pStyle w:val="BodyText"/>
              <w:jc w:val="left"/>
              <w:rPr>
                <w:rFonts w:ascii="Arial" w:hAnsi="Arial" w:cs="Arial"/>
              </w:rPr>
            </w:pPr>
            <w:r w:rsidRPr="00AB418C">
              <w:rPr>
                <w:rFonts w:ascii="Arial" w:hAnsi="Arial" w:cs="Arial"/>
              </w:rPr>
              <w:t xml:space="preserve">Informal bedside teaching from senior doctors (consultants, </w:t>
            </w:r>
            <w:proofErr w:type="spellStart"/>
            <w:r w:rsidRPr="00AB418C">
              <w:rPr>
                <w:rFonts w:ascii="Arial" w:hAnsi="Arial" w:cs="Arial"/>
              </w:rPr>
              <w:t>SpRs</w:t>
            </w:r>
            <w:proofErr w:type="spellEnd"/>
            <w:r w:rsidRPr="00AB418C">
              <w:rPr>
                <w:rFonts w:ascii="Arial" w:hAnsi="Arial" w:cs="Arial"/>
              </w:rPr>
              <w:t xml:space="preserve"> and ST grades). Opportunity to teach medical students, attend theatres (day theatre and main theatres), weekly x-ray meeting, journal club and MDT Meetings. There is a weekly 3 hour protected teaching programme in place.</w:t>
            </w:r>
          </w:p>
          <w:p w:rsidRPr="00AB418C" w:rsidR="00AB418C" w:rsidP="00CB67B6" w:rsidRDefault="00AB418C" w14:paraId="5DAB6C7B" wp14:textId="77777777">
            <w:pPr>
              <w:pStyle w:val="BodyText"/>
              <w:jc w:val="left"/>
              <w:rPr>
                <w:rFonts w:ascii="Arial" w:hAnsi="Arial" w:cs="Arial"/>
                <w:szCs w:val="22"/>
              </w:rPr>
            </w:pPr>
          </w:p>
        </w:tc>
      </w:tr>
      <w:tr xmlns:wp14="http://schemas.microsoft.com/office/word/2010/wordml" w:rsidRPr="004F4EE0" w:rsidR="000865D2" w:rsidTr="3B73A6E3" w14:paraId="04A98262"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AB418C" w:rsidR="000865D2" w:rsidP="00CB67B6" w:rsidRDefault="00AC5CC9" w14:paraId="5691C5D3" wp14:textId="77777777">
            <w:pPr>
              <w:pStyle w:val="BodyText"/>
              <w:jc w:val="left"/>
              <w:rPr>
                <w:rFonts w:ascii="Arial" w:hAnsi="Arial" w:cs="Arial"/>
                <w:szCs w:val="22"/>
              </w:rPr>
            </w:pPr>
            <w:proofErr w:type="spellStart"/>
            <w:r>
              <w:rPr>
                <w:rFonts w:ascii="Arial" w:hAnsi="Arial" w:cs="Arial"/>
                <w:szCs w:val="22"/>
              </w:rPr>
              <w:t>Russells</w:t>
            </w:r>
            <w:proofErr w:type="spellEnd"/>
            <w:r>
              <w:rPr>
                <w:rFonts w:ascii="Arial" w:hAnsi="Arial" w:cs="Arial"/>
                <w:szCs w:val="22"/>
              </w:rPr>
              <w:t xml:space="preserve"> Hall Hospital</w:t>
            </w:r>
          </w:p>
        </w:tc>
      </w:tr>
      <w:tr xmlns:wp14="http://schemas.microsoft.com/office/word/2010/wordml" w:rsidRPr="004F4EE0" w:rsidR="000865D2" w:rsidTr="3B73A6E3" w14:paraId="2FA76D1D" wp14:textId="77777777">
        <w:trPr>
          <w:trHeight w:val="60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00AC5CC9" w:rsidP="0522F104" w:rsidRDefault="00AC5CC9" w14:paraId="585F6DB1" wp14:textId="1D1E5044">
            <w:pPr>
              <w:pStyle w:val="BodyText"/>
              <w:jc w:val="left"/>
              <w:rPr>
                <w:rFonts w:ascii="Arial" w:hAnsi="Arial" w:cs="Arial"/>
                <w:sz w:val="22"/>
                <w:szCs w:val="22"/>
              </w:rPr>
            </w:pPr>
          </w:p>
          <w:p w:rsidRPr="00AB418C" w:rsidR="00AB418C" w:rsidP="3B73A6E3" w:rsidRDefault="00AB418C" w14:paraId="02EB378F" wp14:textId="7295463E">
            <w:pPr>
              <w:pStyle w:val="BodyText"/>
              <w:jc w:val="left"/>
              <w:rPr>
                <w:rFonts w:ascii="Arial" w:hAnsi="Arial" w:eastAsia="Arial" w:cs="Arial"/>
                <w:i w:val="0"/>
                <w:iCs w:val="0"/>
                <w:noProof w:val="0"/>
                <w:sz w:val="22"/>
                <w:szCs w:val="22"/>
                <w:lang w:val="en-GB"/>
              </w:rPr>
            </w:pPr>
            <w:r w:rsidRPr="3B73A6E3" w:rsidR="3C3D7B97">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0865D2" w:rsidTr="3B73A6E3" w14:paraId="66FAFC1E" wp14:textId="77777777">
        <w:trPr>
          <w:trHeight w:val="1700"/>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Pr="00AB418C" w:rsidR="00AB418C" w:rsidP="00AB418C" w:rsidRDefault="00BA2DCE" w14:paraId="2DDE4617" wp14:textId="77777777">
            <w:pPr>
              <w:pStyle w:val="BodyText"/>
              <w:numPr>
                <w:ilvl w:val="0"/>
                <w:numId w:val="4"/>
              </w:numPr>
              <w:jc w:val="left"/>
              <w:rPr>
                <w:rFonts w:ascii="Arial" w:hAnsi="Arial" w:cs="Arial"/>
                <w:szCs w:val="22"/>
              </w:rPr>
            </w:pPr>
            <w:r w:rsidRPr="00AB418C">
              <w:rPr>
                <w:rFonts w:ascii="Arial" w:hAnsi="Arial" w:cs="Arial"/>
              </w:rPr>
              <w:t xml:space="preserve">Attending daily ward rounds, </w:t>
            </w:r>
          </w:p>
          <w:p w:rsidRPr="00AB418C" w:rsidR="00AB418C" w:rsidP="00AB418C" w:rsidRDefault="00AB418C" w14:paraId="174DC5AF" wp14:textId="77777777">
            <w:pPr>
              <w:pStyle w:val="BodyText"/>
              <w:numPr>
                <w:ilvl w:val="0"/>
                <w:numId w:val="4"/>
              </w:numPr>
              <w:jc w:val="left"/>
              <w:rPr>
                <w:rFonts w:ascii="Arial" w:hAnsi="Arial" w:cs="Arial"/>
                <w:szCs w:val="22"/>
              </w:rPr>
            </w:pPr>
            <w:r>
              <w:rPr>
                <w:rFonts w:ascii="Arial" w:hAnsi="Arial" w:cs="Arial"/>
              </w:rPr>
              <w:t>C</w:t>
            </w:r>
            <w:r w:rsidRPr="00AB418C" w:rsidR="00BA2DCE">
              <w:rPr>
                <w:rFonts w:ascii="Arial" w:hAnsi="Arial" w:cs="Arial"/>
              </w:rPr>
              <w:t xml:space="preserve">linical procedures such as cannulation, catheter placement, ECG, NG Tube insertion, </w:t>
            </w:r>
          </w:p>
          <w:p w:rsidRPr="00AB418C" w:rsidR="00AB418C" w:rsidP="00AB418C" w:rsidRDefault="00AB418C" w14:paraId="19DD1310" wp14:textId="77777777">
            <w:pPr>
              <w:pStyle w:val="BodyText"/>
              <w:numPr>
                <w:ilvl w:val="0"/>
                <w:numId w:val="4"/>
              </w:numPr>
              <w:jc w:val="left"/>
              <w:rPr>
                <w:rFonts w:ascii="Arial" w:hAnsi="Arial" w:cs="Arial"/>
                <w:szCs w:val="22"/>
              </w:rPr>
            </w:pPr>
            <w:r>
              <w:rPr>
                <w:rFonts w:ascii="Arial" w:hAnsi="Arial" w:cs="Arial"/>
              </w:rPr>
              <w:t>O</w:t>
            </w:r>
            <w:r w:rsidRPr="00AB418C" w:rsidR="00BA2DCE">
              <w:rPr>
                <w:rFonts w:ascii="Arial" w:hAnsi="Arial" w:cs="Arial"/>
              </w:rPr>
              <w:t xml:space="preserve">rdering investigations, </w:t>
            </w:r>
          </w:p>
          <w:p w:rsidRPr="00AB418C" w:rsidR="00AB418C" w:rsidP="00AB418C" w:rsidRDefault="00AB418C" w14:paraId="32AC97B9" wp14:textId="77777777">
            <w:pPr>
              <w:pStyle w:val="BodyText"/>
              <w:numPr>
                <w:ilvl w:val="0"/>
                <w:numId w:val="4"/>
              </w:numPr>
              <w:jc w:val="left"/>
              <w:rPr>
                <w:rFonts w:ascii="Arial" w:hAnsi="Arial" w:cs="Arial"/>
                <w:szCs w:val="22"/>
              </w:rPr>
            </w:pPr>
            <w:r>
              <w:rPr>
                <w:rFonts w:ascii="Arial" w:hAnsi="Arial" w:cs="Arial"/>
              </w:rPr>
              <w:t>R</w:t>
            </w:r>
            <w:r w:rsidRPr="00AB418C" w:rsidR="00BA2DCE">
              <w:rPr>
                <w:rFonts w:ascii="Arial" w:hAnsi="Arial" w:cs="Arial"/>
              </w:rPr>
              <w:t xml:space="preserve">eviewing sick patients, </w:t>
            </w:r>
          </w:p>
          <w:p w:rsidRPr="00AB418C" w:rsidR="00AB418C" w:rsidP="00AB418C" w:rsidRDefault="00AB418C" w14:paraId="1E0498F7" wp14:textId="77777777">
            <w:pPr>
              <w:pStyle w:val="BodyText"/>
              <w:numPr>
                <w:ilvl w:val="0"/>
                <w:numId w:val="4"/>
              </w:numPr>
              <w:jc w:val="left"/>
              <w:rPr>
                <w:rFonts w:ascii="Arial" w:hAnsi="Arial" w:cs="Arial"/>
                <w:szCs w:val="22"/>
              </w:rPr>
            </w:pPr>
            <w:r w:rsidRPr="00AB418C">
              <w:rPr>
                <w:rFonts w:ascii="Arial" w:hAnsi="Arial" w:cs="Arial"/>
              </w:rPr>
              <w:t>Chasing</w:t>
            </w:r>
            <w:r w:rsidRPr="00AB418C" w:rsidR="00BA2DCE">
              <w:rPr>
                <w:rFonts w:ascii="Arial" w:hAnsi="Arial" w:cs="Arial"/>
              </w:rPr>
              <w:t xml:space="preserve"> results and tests. </w:t>
            </w:r>
          </w:p>
          <w:p w:rsidRPr="00AB418C" w:rsidR="00AB418C" w:rsidP="00AC5CC9" w:rsidRDefault="00AB418C" w14:paraId="6A05A809" wp14:textId="77777777">
            <w:pPr>
              <w:pStyle w:val="BodyText"/>
              <w:jc w:val="left"/>
              <w:rPr>
                <w:rFonts w:ascii="Arial" w:hAnsi="Arial" w:cs="Arial"/>
                <w:szCs w:val="22"/>
              </w:rPr>
            </w:pPr>
          </w:p>
        </w:tc>
      </w:tr>
      <w:tr xmlns:wp14="http://schemas.microsoft.com/office/word/2010/wordml" w:rsidRPr="004F4EE0" w:rsidR="000865D2" w:rsidTr="3B73A6E3" w14:paraId="590F6BCD"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AB418C" w:rsidR="000865D2" w:rsidP="00993260" w:rsidRDefault="00AC5CC9"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3B73A6E3"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825F81" w:rsidR="00825F81" w:rsidP="00825F81" w:rsidRDefault="00825F81" w14:paraId="759D14FC" wp14:textId="77777777">
            <w:pPr>
              <w:spacing w:after="150"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825F81" w:rsidR="00825F81" w:rsidP="00825F81" w:rsidRDefault="00825F81" w14:paraId="10B93A16" wp14:textId="77777777">
            <w:pPr>
              <w:spacing w:after="150"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825F81" w:rsidR="00825F81" w:rsidP="00825F81" w:rsidRDefault="00825F81" w14:paraId="219BCB0D" wp14:textId="77777777">
            <w:pPr>
              <w:spacing w:after="150"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825F81" w:rsidR="00825F81" w:rsidP="00825F81" w:rsidRDefault="00825F81" w14:paraId="76112224" wp14:textId="77777777">
            <w:pPr>
              <w:spacing w:after="150"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825F81" w:rsidR="00825F81" w:rsidP="00825F81" w:rsidRDefault="00825F81" w14:paraId="1B040E9F" wp14:textId="77777777">
            <w:pPr>
              <w:spacing w:after="150"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In a year we…</w:t>
            </w:r>
          </w:p>
          <w:p w:rsidRPr="00825F81" w:rsidR="00825F81" w:rsidP="00825F81" w:rsidRDefault="00825F81" w14:paraId="43DE7035" wp14:textId="77777777">
            <w:pPr>
              <w:numPr>
                <w:ilvl w:val="0"/>
                <w:numId w:val="7"/>
              </w:numPr>
              <w:spacing w:before="100" w:beforeAutospacing="1" w:after="75"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deliver 4,700 babies</w:t>
            </w:r>
          </w:p>
          <w:p w:rsidRPr="00825F81" w:rsidR="00825F81" w:rsidP="00825F81" w:rsidRDefault="00825F81" w14:paraId="7D164590" wp14:textId="77777777">
            <w:pPr>
              <w:numPr>
                <w:ilvl w:val="0"/>
                <w:numId w:val="7"/>
              </w:numPr>
              <w:spacing w:before="100" w:beforeAutospacing="1" w:after="75"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see around 500,000 outpatients</w:t>
            </w:r>
          </w:p>
          <w:p w:rsidRPr="00825F81" w:rsidR="00825F81" w:rsidP="00825F81" w:rsidRDefault="00825F81" w14:paraId="3D37A013" wp14:textId="77777777">
            <w:pPr>
              <w:numPr>
                <w:ilvl w:val="0"/>
                <w:numId w:val="7"/>
              </w:numPr>
              <w:spacing w:before="100" w:beforeAutospacing="1" w:after="75"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treat almost 100,000 patients in our emergency department</w:t>
            </w:r>
          </w:p>
          <w:p w:rsidRPr="00825F81" w:rsidR="00825F81" w:rsidP="00825F81" w:rsidRDefault="00825F81" w14:paraId="7ACDD1A2" wp14:textId="77777777">
            <w:pPr>
              <w:numPr>
                <w:ilvl w:val="0"/>
                <w:numId w:val="7"/>
              </w:numPr>
              <w:spacing w:before="100" w:beforeAutospacing="1" w:after="75" w:line="300" w:lineRule="atLeast"/>
              <w:rPr>
                <w:rFonts w:ascii="Helvetica" w:hAnsi="Helvetica" w:cs="Helvetica"/>
                <w:color w:val="333333"/>
                <w:sz w:val="23"/>
                <w:szCs w:val="23"/>
                <w:lang w:val="en-GB" w:eastAsia="en-GB"/>
              </w:rPr>
            </w:pPr>
            <w:r w:rsidRPr="00825F81">
              <w:rPr>
                <w:rFonts w:ascii="Helvetica" w:hAnsi="Helvetica" w:cs="Helvetica"/>
                <w:color w:val="333333"/>
                <w:sz w:val="23"/>
                <w:szCs w:val="23"/>
                <w:lang w:val="en-GB" w:eastAsia="en-GB"/>
              </w:rPr>
              <w:t>maintain our 13,000 Public Members</w:t>
            </w:r>
          </w:p>
          <w:p w:rsidRPr="00AB418C" w:rsidR="000865D2" w:rsidP="00825F81" w:rsidRDefault="000865D2" w14:paraId="5A39BBE3" wp14:textId="77777777">
            <w:pPr>
              <w:pStyle w:val="BodyText"/>
              <w:rPr>
                <w:rFonts w:ascii="Arial" w:hAnsi="Arial" w:cs="Arial"/>
                <w:szCs w:val="22"/>
              </w:rPr>
            </w:pPr>
          </w:p>
        </w:tc>
      </w:tr>
    </w:tbl>
    <w:p xmlns:wp14="http://schemas.microsoft.com/office/word/2010/wordml" w:rsidR="00CB67B6" w:rsidP="00CB67B6" w:rsidRDefault="00CB67B6" w14:paraId="41C8F396" wp14:textId="77777777">
      <w:pPr>
        <w:jc w:val="both"/>
        <w:rPr>
          <w:rFonts w:ascii="Arial" w:hAnsi="Arial" w:cs="Arial"/>
          <w:sz w:val="22"/>
          <w:szCs w:val="22"/>
        </w:rPr>
      </w:pPr>
    </w:p>
    <w:p xmlns:wp14="http://schemas.microsoft.com/office/word/2010/wordml" w:rsidRPr="00246199" w:rsidR="000865D2" w:rsidP="00E9702E"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EB0C79">
      <w:footerReference w:type="default" r:id="rId11"/>
      <w:footerReference w:type="first" r:id="rId12"/>
      <w:pgSz w:w="11906" w:h="16838" w:orient="portrait"/>
      <w:pgMar w:top="1440" w:right="1800" w:bottom="1440" w:left="1800" w:header="708" w:footer="708" w:gutter="0"/>
      <w:cols w:space="708"/>
      <w:docGrid w:linePitch="360"/>
      <w:headerReference w:type="default" r:id="R300f0a69c5194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250E7" w:rsidP="00E9702E" w:rsidRDefault="00B250E7" w14:paraId="72A3D3EC" wp14:textId="77777777">
      <w:r>
        <w:separator/>
      </w:r>
    </w:p>
  </w:endnote>
  <w:endnote w:type="continuationSeparator" w:id="0">
    <w:p xmlns:wp14="http://schemas.microsoft.com/office/word/2010/wordml" w:rsidR="00B250E7" w:rsidP="00E9702E" w:rsidRDefault="00B250E7"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B0C79" w:rsidP="0522F104" w:rsidRDefault="00EB0C79" w14:paraId="1B94E03C" wp14:textId="243AC2AD">
    <w:pPr>
      <w:pStyle w:val="Footer"/>
      <w:rPr>
        <w:rFonts w:ascii="Arial" w:hAnsi="Arial" w:eastAsia="Arial" w:cs="Arial"/>
      </w:rPr>
    </w:pPr>
    <w:r w:rsidRPr="3B73A6E3" w:rsidR="3B73A6E3">
      <w:rPr>
        <w:rFonts w:ascii="Arial" w:hAnsi="Arial" w:eastAsia="Arial" w:cs="Arial"/>
      </w:rPr>
      <w:t>August 202</w:t>
    </w:r>
    <w:r w:rsidRPr="3B73A6E3" w:rsidR="3B73A6E3">
      <w:rPr>
        <w:rFonts w:ascii="Arial" w:hAnsi="Arial" w:eastAsia="Arial" w:cs="Arial"/>
      </w:rPr>
      <w:t>1</w:t>
    </w:r>
  </w:p>
  <w:p xmlns:wp14="http://schemas.microsoft.com/office/word/2010/wordml" w:rsidR="00EB0C79" w:rsidRDefault="00EB0C79" w14:paraId="4B94D5A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B0C79" w:rsidRDefault="00EB0C79" w14:paraId="15286265" wp14:textId="77777777">
    <w:pPr>
      <w:pStyle w:val="Footer"/>
    </w:pPr>
    <w:r>
      <w:t>August 2020</w:t>
    </w:r>
  </w:p>
  <w:p xmlns:wp14="http://schemas.microsoft.com/office/word/2010/wordml" w:rsidR="00773BD6" w:rsidRDefault="00773BD6" w14:paraId="44EAFD9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250E7" w:rsidP="00E9702E" w:rsidRDefault="00B250E7" w14:paraId="0E27B00A" wp14:textId="77777777">
      <w:r>
        <w:separator/>
      </w:r>
    </w:p>
  </w:footnote>
  <w:footnote w:type="continuationSeparator" w:id="0">
    <w:p xmlns:wp14="http://schemas.microsoft.com/office/word/2010/wordml" w:rsidR="00B250E7" w:rsidP="00E9702E" w:rsidRDefault="00B250E7" w14:paraId="60061E4C"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00DB34AA" w:rsidTr="3B73A6E3" w14:paraId="03BCDF7C">
      <w:tc>
        <w:tcPr>
          <w:tcW w:w="2765" w:type="dxa"/>
          <w:tcMar/>
          <w:tcPrChange w:author="MASON, Annette (THE DUDLEY GROUP NHS FOUNDATION TRUST)" w:date="2021-08-11T09:54:52.59Z">
            <w:tcPr>
              <w:tcW w:w="2765" w:type="dxa"/>
              <w:tcMar/>
            </w:tcPr>
          </w:tcPrChange>
        </w:tcPr>
        <w:p w:rsidR="00DB34AA" w:rsidP="0522F104" w:rsidRDefault="00DB34AA" w14:paraId="5E59538E" w14:textId="2E6433E7">
          <w:pPr>
            <w:pStyle w:val="Header"/>
            <w:bidi w:val="0"/>
            <w:ind w:left="-115"/>
            <w:jc w:val="left"/>
            <w:rPr>
              <w:rFonts w:ascii="Cambria" w:hAnsi="Cambria" w:eastAsia="Times New Roman" w:cs="Times New Roman"/>
              <w:sz w:val="24"/>
              <w:szCs w:val="24"/>
            </w:rPr>
          </w:pPr>
        </w:p>
      </w:tc>
      <w:tc>
        <w:tcPr>
          <w:tcW w:w="2765" w:type="dxa"/>
          <w:tcMar/>
          <w:tcPrChange w:author="MASON, Annette (THE DUDLEY GROUP NHS FOUNDATION TRUST)" w:date="2021-08-11T09:54:52.59Z">
            <w:tcPr>
              <w:tcW w:w="2765" w:type="dxa"/>
              <w:tcMar/>
            </w:tcPr>
          </w:tcPrChange>
        </w:tcPr>
        <w:p w:rsidR="00DB34AA" w:rsidP="0522F104" w:rsidRDefault="00DB34AA" w14:paraId="69316216" w14:textId="37B7E026">
          <w:pPr>
            <w:pStyle w:val="Header"/>
            <w:bidi w:val="0"/>
            <w:jc w:val="center"/>
            <w:rPr>
              <w:rFonts w:ascii="Cambria" w:hAnsi="Cambria" w:eastAsia="Times New Roman" w:cs="Times New Roman"/>
              <w:sz w:val="24"/>
              <w:szCs w:val="24"/>
            </w:rPr>
          </w:pPr>
        </w:p>
      </w:tc>
      <w:tc>
        <w:tcPr>
          <w:tcW w:w="2765" w:type="dxa"/>
          <w:tcMar/>
          <w:tcPrChange w:author="MASON, Annette (THE DUDLEY GROUP NHS FOUNDATION TRUST)" w:date="2021-08-11T09:54:52.59Z">
            <w:tcPr>
              <w:tcW w:w="2765" w:type="dxa"/>
              <w:tcMar/>
            </w:tcPr>
          </w:tcPrChange>
        </w:tcPr>
        <w:p w:rsidR="00DB34AA" w:rsidP="3B73A6E3" w:rsidRDefault="00DB34AA" w14:paraId="7C254F75" w14:textId="6FE5D8C5">
          <w:pPr>
            <w:pStyle w:val="Header"/>
            <w:bidi w:val="0"/>
            <w:ind w:right="-115"/>
            <w:jc w:val="right"/>
            <w:rPr>
              <w:rFonts w:ascii="Cambria" w:hAnsi="Cambria" w:eastAsia="Times New Roman" w:cs="Times New Roman"/>
              <w:sz w:val="24"/>
              <w:szCs w:val="24"/>
            </w:rPr>
          </w:pPr>
        </w:p>
      </w:tc>
    </w:tr>
  </w:tbl>
  <w:p w:rsidR="00DB34AA" w:rsidP="3B73A6E3" w:rsidRDefault="00DB34AA" w14:paraId="2B4D31B1" w14:textId="582CF260">
    <w:pPr>
      <w:pStyle w:val="Header"/>
      <w:bidi w:val="0"/>
      <w:rPr>
        <w:rFonts w:ascii="Cambria" w:hAnsi="Cambria"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7843"/>
    <w:multiLevelType w:val="hybridMultilevel"/>
    <w:tmpl w:val="0284C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2578BC"/>
    <w:multiLevelType w:val="multilevel"/>
    <w:tmpl w:val="480C7AF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4" w15:restartNumberingAfterBreak="0">
    <w:nsid w:val="56D858E7"/>
    <w:multiLevelType w:val="hybridMultilevel"/>
    <w:tmpl w:val="D00A8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DCD7F4E"/>
    <w:multiLevelType w:val="hybridMultilevel"/>
    <w:tmpl w:val="6052B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135E8"/>
    <w:rsid w:val="0004074E"/>
    <w:rsid w:val="000865D2"/>
    <w:rsid w:val="000E08CF"/>
    <w:rsid w:val="00100EF2"/>
    <w:rsid w:val="001147C6"/>
    <w:rsid w:val="001D2A74"/>
    <w:rsid w:val="002021CB"/>
    <w:rsid w:val="00231FC5"/>
    <w:rsid w:val="00267B06"/>
    <w:rsid w:val="002C5FB5"/>
    <w:rsid w:val="002D2027"/>
    <w:rsid w:val="002D22BB"/>
    <w:rsid w:val="003200A0"/>
    <w:rsid w:val="00380955"/>
    <w:rsid w:val="00455301"/>
    <w:rsid w:val="00533984"/>
    <w:rsid w:val="0054762A"/>
    <w:rsid w:val="0067298A"/>
    <w:rsid w:val="006D160D"/>
    <w:rsid w:val="00707F9A"/>
    <w:rsid w:val="00715AE5"/>
    <w:rsid w:val="00732CA5"/>
    <w:rsid w:val="00773BD6"/>
    <w:rsid w:val="0079492F"/>
    <w:rsid w:val="007A44BD"/>
    <w:rsid w:val="007C4341"/>
    <w:rsid w:val="007D5F8F"/>
    <w:rsid w:val="007E309B"/>
    <w:rsid w:val="00825F81"/>
    <w:rsid w:val="00902D4A"/>
    <w:rsid w:val="00906959"/>
    <w:rsid w:val="009409F4"/>
    <w:rsid w:val="00945EB5"/>
    <w:rsid w:val="00993260"/>
    <w:rsid w:val="009E6761"/>
    <w:rsid w:val="009E676D"/>
    <w:rsid w:val="00A0455D"/>
    <w:rsid w:val="00AB418C"/>
    <w:rsid w:val="00AC5CC9"/>
    <w:rsid w:val="00B163A8"/>
    <w:rsid w:val="00B250E7"/>
    <w:rsid w:val="00B375CF"/>
    <w:rsid w:val="00B56FBE"/>
    <w:rsid w:val="00BA2DCE"/>
    <w:rsid w:val="00BA5275"/>
    <w:rsid w:val="00C03E1B"/>
    <w:rsid w:val="00C60AB6"/>
    <w:rsid w:val="00C94C35"/>
    <w:rsid w:val="00CB67B6"/>
    <w:rsid w:val="00D61B06"/>
    <w:rsid w:val="00DB34AA"/>
    <w:rsid w:val="00E9702E"/>
    <w:rsid w:val="00EB0C79"/>
    <w:rsid w:val="00FC52EA"/>
    <w:rsid w:val="0522F104"/>
    <w:rsid w:val="175F9A16"/>
    <w:rsid w:val="3B73A6E3"/>
    <w:rsid w:val="3C3D7B97"/>
    <w:rsid w:val="6F01D1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4DA8C6"/>
  <w15:chartTrackingRefBased/>
  <w15:docId w15:val="{1C17D37F-A491-43F6-BA4A-9D5F730F8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rsid w:val="00E9702E"/>
    <w:pPr>
      <w:tabs>
        <w:tab w:val="center" w:pos="4513"/>
        <w:tab w:val="right" w:pos="9026"/>
      </w:tabs>
    </w:pPr>
  </w:style>
  <w:style w:type="character" w:styleId="HeaderChar" w:customStyle="1">
    <w:name w:val="Header Char"/>
    <w:link w:val="Header"/>
    <w:rsid w:val="00E9702E"/>
    <w:rPr>
      <w:rFonts w:ascii="Cambria" w:hAnsi="Cambria"/>
      <w:sz w:val="24"/>
      <w:szCs w:val="24"/>
      <w:lang w:val="en-US" w:eastAsia="en-US"/>
    </w:rPr>
  </w:style>
  <w:style w:type="paragraph" w:styleId="Footer">
    <w:name w:val="footer"/>
    <w:basedOn w:val="Normal"/>
    <w:link w:val="FooterChar"/>
    <w:uiPriority w:val="99"/>
    <w:rsid w:val="00E9702E"/>
    <w:pPr>
      <w:tabs>
        <w:tab w:val="center" w:pos="4513"/>
        <w:tab w:val="right" w:pos="9026"/>
      </w:tabs>
    </w:pPr>
  </w:style>
  <w:style w:type="character" w:styleId="FooterChar" w:customStyle="1">
    <w:name w:val="Footer Char"/>
    <w:link w:val="Footer"/>
    <w:uiPriority w:val="99"/>
    <w:rsid w:val="00E9702E"/>
    <w:rPr>
      <w:rFonts w:ascii="Cambria" w:hAnsi="Cambria"/>
      <w:sz w:val="24"/>
      <w:szCs w:val="24"/>
      <w:lang w:val="en-US" w:eastAsia="en-US"/>
    </w:rPr>
  </w:style>
  <w:style w:type="paragraph" w:styleId="BalloonText">
    <w:name w:val="Balloon Text"/>
    <w:basedOn w:val="Normal"/>
    <w:link w:val="BalloonTextChar"/>
    <w:rsid w:val="00E9702E"/>
    <w:rPr>
      <w:rFonts w:ascii="Tahoma" w:hAnsi="Tahoma" w:cs="Tahoma"/>
      <w:sz w:val="16"/>
      <w:szCs w:val="16"/>
    </w:rPr>
  </w:style>
  <w:style w:type="character" w:styleId="BalloonTextChar" w:customStyle="1">
    <w:name w:val="Balloon Text Char"/>
    <w:link w:val="BalloonText"/>
    <w:rsid w:val="00E9702E"/>
    <w:rPr>
      <w:rFonts w:ascii="Tahoma" w:hAnsi="Tahoma" w:cs="Tahoma"/>
      <w:sz w:val="16"/>
      <w:szCs w:val="16"/>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1819957476">
      <w:bodyDiv w:val="1"/>
      <w:marLeft w:val="0"/>
      <w:marRight w:val="0"/>
      <w:marTop w:val="0"/>
      <w:marBottom w:val="0"/>
      <w:divBdr>
        <w:top w:val="none" w:sz="0" w:space="0" w:color="auto"/>
        <w:left w:val="none" w:sz="0" w:space="0" w:color="auto"/>
        <w:bottom w:val="none" w:sz="0" w:space="0" w:color="auto"/>
        <w:right w:val="none" w:sz="0" w:space="0" w:color="auto"/>
      </w:divBdr>
      <w:divsChild>
        <w:div w:id="1680352828">
          <w:marLeft w:val="0"/>
          <w:marRight w:val="0"/>
          <w:marTop w:val="0"/>
          <w:marBottom w:val="0"/>
          <w:divBdr>
            <w:top w:val="none" w:sz="0" w:space="0" w:color="auto"/>
            <w:left w:val="none" w:sz="0" w:space="0" w:color="auto"/>
            <w:bottom w:val="none" w:sz="0" w:space="0" w:color="auto"/>
            <w:right w:val="none" w:sz="0" w:space="0" w:color="auto"/>
          </w:divBdr>
          <w:divsChild>
            <w:div w:id="1529832044">
              <w:marLeft w:val="-300"/>
              <w:marRight w:val="0"/>
              <w:marTop w:val="0"/>
              <w:marBottom w:val="0"/>
              <w:divBdr>
                <w:top w:val="none" w:sz="0" w:space="0" w:color="auto"/>
                <w:left w:val="none" w:sz="0" w:space="0" w:color="auto"/>
                <w:bottom w:val="none" w:sz="0" w:space="0" w:color="auto"/>
                <w:right w:val="none" w:sz="0" w:space="0" w:color="auto"/>
              </w:divBdr>
              <w:divsChild>
                <w:div w:id="1507357693">
                  <w:marLeft w:val="0"/>
                  <w:marRight w:val="0"/>
                  <w:marTop w:val="0"/>
                  <w:marBottom w:val="0"/>
                  <w:divBdr>
                    <w:top w:val="none" w:sz="0" w:space="0" w:color="auto"/>
                    <w:left w:val="none" w:sz="0" w:space="0" w:color="auto"/>
                    <w:bottom w:val="none" w:sz="0" w:space="0" w:color="auto"/>
                    <w:right w:val="none" w:sz="0" w:space="0" w:color="auto"/>
                  </w:divBdr>
                  <w:divsChild>
                    <w:div w:id="17621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725254">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oleObject" Target="embeddings/oleObject1.bin"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eader" Target="/word/header.xml" Id="R300f0a69c51942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CEF5C-6882-4518-846E-F70A225C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C279B-5F72-4073-8664-D8E5A53604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7</revision>
  <dcterms:created xsi:type="dcterms:W3CDTF">2021-08-11T09:16:00.0000000Z</dcterms:created>
  <dcterms:modified xsi:type="dcterms:W3CDTF">2021-08-18T12:05:58.2813105Z</dcterms:modified>
</coreProperties>
</file>