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A05BB9" w14:textId="2699A59D" w:rsidR="00BE3D0A" w:rsidRDefault="00BE3D0A" w:rsidP="00BE3D0A">
      <w:pPr>
        <w:pStyle w:val="Title"/>
        <w:jc w:val="right"/>
        <w:rPr>
          <w:color w:val="0070C0"/>
        </w:rPr>
      </w:pPr>
      <w:r>
        <w:rPr>
          <w:noProof/>
        </w:rPr>
        <w:drawing>
          <wp:inline distT="0" distB="0" distL="0" distR="0" wp14:anchorId="6F7333FA" wp14:editId="319DE3A6">
            <wp:extent cx="2597727" cy="1122218"/>
            <wp:effectExtent l="0" t="0" r="0" b="1905"/>
            <wp:docPr id="637763938" name="Picture 1" descr="A logo for The Dudley Group NHS Foundation Trust also known as DG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597727" cy="1122218"/>
                    </a:xfrm>
                    <a:prstGeom prst="rect">
                      <a:avLst/>
                    </a:prstGeom>
                  </pic:spPr>
                </pic:pic>
              </a:graphicData>
            </a:graphic>
          </wp:inline>
        </w:drawing>
      </w:r>
    </w:p>
    <w:p w14:paraId="2A80BA5C" w14:textId="77777777" w:rsidR="00BE3D0A" w:rsidRDefault="00BE3D0A" w:rsidP="6EAAB41B">
      <w:pPr>
        <w:pStyle w:val="Title"/>
        <w:jc w:val="both"/>
        <w:rPr>
          <w:color w:val="0070C0"/>
        </w:rPr>
      </w:pPr>
    </w:p>
    <w:p w14:paraId="15E72230" w14:textId="77777777" w:rsidR="00BE3D0A" w:rsidRDefault="00BE3D0A" w:rsidP="6EAAB41B">
      <w:pPr>
        <w:pStyle w:val="Title"/>
        <w:jc w:val="both"/>
        <w:rPr>
          <w:color w:val="0070C0"/>
        </w:rPr>
      </w:pPr>
    </w:p>
    <w:p w14:paraId="1B7915CD" w14:textId="77777777" w:rsidR="00BE3D0A" w:rsidRDefault="00BE3D0A" w:rsidP="6EAAB41B">
      <w:pPr>
        <w:pStyle w:val="Title"/>
        <w:jc w:val="both"/>
        <w:rPr>
          <w:color w:val="0070C0"/>
        </w:rPr>
      </w:pPr>
    </w:p>
    <w:p w14:paraId="0F2C03C7" w14:textId="77777777" w:rsidR="00BE3D0A" w:rsidRDefault="00BE3D0A" w:rsidP="6EAAB41B">
      <w:pPr>
        <w:pStyle w:val="Title"/>
        <w:jc w:val="both"/>
        <w:rPr>
          <w:color w:val="0070C0"/>
        </w:rPr>
      </w:pPr>
    </w:p>
    <w:p w14:paraId="05A59BFF" w14:textId="0F4618A4" w:rsidR="006117F7" w:rsidRPr="007476FB" w:rsidRDefault="006117F7" w:rsidP="6EAAB41B">
      <w:pPr>
        <w:pStyle w:val="Title"/>
        <w:jc w:val="both"/>
        <w:rPr>
          <w:color w:val="0070C0"/>
        </w:rPr>
      </w:pPr>
      <w:r w:rsidRPr="6EAAB41B">
        <w:rPr>
          <w:color w:val="0070C0"/>
        </w:rPr>
        <w:t>Workforce Race Equality Standard Annual Report 2025</w:t>
      </w:r>
    </w:p>
    <w:p w14:paraId="4B189274" w14:textId="77777777" w:rsidR="006117F7" w:rsidRDefault="006117F7" w:rsidP="6EAAB41B">
      <w:pPr>
        <w:jc w:val="both"/>
      </w:pPr>
    </w:p>
    <w:p w14:paraId="7AC7F70F" w14:textId="77777777" w:rsidR="006117F7" w:rsidRDefault="006117F7" w:rsidP="6EAAB41B">
      <w:pPr>
        <w:jc w:val="both"/>
      </w:pPr>
    </w:p>
    <w:p w14:paraId="16FAC987" w14:textId="77777777" w:rsidR="00F52F54" w:rsidRDefault="00F52F54" w:rsidP="6EAAB41B">
      <w:pPr>
        <w:jc w:val="both"/>
      </w:pPr>
    </w:p>
    <w:p w14:paraId="01C94637" w14:textId="77777777" w:rsidR="00F52F54" w:rsidRDefault="00F52F54" w:rsidP="6EAAB41B">
      <w:pPr>
        <w:jc w:val="both"/>
      </w:pPr>
    </w:p>
    <w:p w14:paraId="492FC66B" w14:textId="77777777" w:rsidR="00F52F54" w:rsidRDefault="00F52F54" w:rsidP="6EAAB41B">
      <w:pPr>
        <w:jc w:val="both"/>
      </w:pPr>
    </w:p>
    <w:p w14:paraId="320E1CDF" w14:textId="77777777" w:rsidR="00F52F54" w:rsidRDefault="00F52F54" w:rsidP="6EAAB41B">
      <w:pPr>
        <w:jc w:val="both"/>
      </w:pPr>
    </w:p>
    <w:p w14:paraId="71F16E1A" w14:textId="77777777" w:rsidR="00F52F54" w:rsidRDefault="00F52F54" w:rsidP="6EAAB41B">
      <w:pPr>
        <w:jc w:val="both"/>
      </w:pPr>
    </w:p>
    <w:p w14:paraId="36B93BBF" w14:textId="77777777" w:rsidR="00F52F54" w:rsidRDefault="00F52F54" w:rsidP="6EAAB41B">
      <w:pPr>
        <w:jc w:val="both"/>
      </w:pPr>
    </w:p>
    <w:p w14:paraId="5F655BDE" w14:textId="77777777" w:rsidR="00F52F54" w:rsidRDefault="00F52F54" w:rsidP="6EAAB41B">
      <w:pPr>
        <w:jc w:val="both"/>
      </w:pPr>
    </w:p>
    <w:p w14:paraId="76C0FBEB" w14:textId="77777777" w:rsidR="00F52F54" w:rsidRDefault="00F52F54" w:rsidP="6EAAB41B">
      <w:pPr>
        <w:jc w:val="both"/>
      </w:pPr>
    </w:p>
    <w:p w14:paraId="1F76E938" w14:textId="77777777" w:rsidR="00F52F54" w:rsidRDefault="00F52F54" w:rsidP="6EAAB41B">
      <w:pPr>
        <w:jc w:val="both"/>
      </w:pPr>
    </w:p>
    <w:p w14:paraId="6DBD7B1D" w14:textId="77777777" w:rsidR="00F52F54" w:rsidRDefault="00F52F54" w:rsidP="6EAAB41B">
      <w:pPr>
        <w:jc w:val="both"/>
      </w:pPr>
    </w:p>
    <w:p w14:paraId="56BE87F6" w14:textId="77777777" w:rsidR="00F52F54" w:rsidRDefault="00F52F54" w:rsidP="6EAAB41B">
      <w:pPr>
        <w:jc w:val="both"/>
      </w:pPr>
    </w:p>
    <w:p w14:paraId="0293FF5F" w14:textId="77777777" w:rsidR="006117F7" w:rsidRDefault="006117F7" w:rsidP="6EAAB41B">
      <w:pPr>
        <w:jc w:val="both"/>
      </w:pPr>
    </w:p>
    <w:p w14:paraId="544A5328" w14:textId="77777777" w:rsidR="006117F7" w:rsidRDefault="006117F7" w:rsidP="6EAAB41B">
      <w:pPr>
        <w:jc w:val="both"/>
      </w:pPr>
    </w:p>
    <w:p w14:paraId="6AF441B8" w14:textId="3B7DA1C2" w:rsidR="007476FB" w:rsidRDefault="007476FB" w:rsidP="6EAAB41B">
      <w:pPr>
        <w:pStyle w:val="Heading1"/>
        <w:jc w:val="both"/>
      </w:pPr>
      <w:bookmarkStart w:id="0" w:name="_Toc196746723"/>
      <w:r>
        <w:lastRenderedPageBreak/>
        <w:t>Definitions</w:t>
      </w:r>
      <w:bookmarkEnd w:id="0"/>
    </w:p>
    <w:p w14:paraId="60899D99" w14:textId="04B2B6A5" w:rsidR="007476FB" w:rsidRDefault="006117F7" w:rsidP="003F05A4">
      <w:pPr>
        <w:pStyle w:val="ListParagraph"/>
        <w:numPr>
          <w:ilvl w:val="0"/>
          <w:numId w:val="2"/>
        </w:numPr>
        <w:jc w:val="both"/>
      </w:pPr>
      <w:r>
        <w:t>BME</w:t>
      </w:r>
      <w:r w:rsidR="007476FB">
        <w:t xml:space="preserve"> - </w:t>
      </w:r>
      <w:r>
        <w:t>Black and Minority Ethnic</w:t>
      </w:r>
      <w:r w:rsidR="007476FB">
        <w:t xml:space="preserve">: </w:t>
      </w:r>
      <w:r>
        <w:t xml:space="preserve"> </w:t>
      </w:r>
      <w:r w:rsidR="007476FB">
        <w:t xml:space="preserve">As a Trust, we are moving away from using the term Black and Minority Ethnic (BME) or Black, Asian, Minority Ethnic (BAME). Instead, with full support from our </w:t>
      </w:r>
      <w:proofErr w:type="spellStart"/>
      <w:r w:rsidR="007476FB">
        <w:t>EmbRACE</w:t>
      </w:r>
      <w:proofErr w:type="spellEnd"/>
      <w:r w:rsidR="007476FB">
        <w:t xml:space="preserve"> Staff Network, we will use the term ‘ethnically diverse’ or refer directly to ethnicity or nationality. The data sets in this report compare the experience of Black and Minority Ethnic (BME) staff to White staff; however, our narrative will always avoid these acronyms</w:t>
      </w:r>
      <w:r w:rsidR="008F59E1">
        <w:t xml:space="preserve"> where possible</w:t>
      </w:r>
      <w:r w:rsidR="007476FB">
        <w:t xml:space="preserve">. </w:t>
      </w:r>
    </w:p>
    <w:p w14:paraId="44C57227" w14:textId="62329485" w:rsidR="007476FB" w:rsidRDefault="007476FB" w:rsidP="003F05A4">
      <w:pPr>
        <w:pStyle w:val="ListParagraph"/>
        <w:numPr>
          <w:ilvl w:val="0"/>
          <w:numId w:val="2"/>
        </w:numPr>
        <w:jc w:val="both"/>
      </w:pPr>
      <w:r>
        <w:t>NHS – National Health Service</w:t>
      </w:r>
    </w:p>
    <w:p w14:paraId="198015D0" w14:textId="51B60A62" w:rsidR="00AF5F60" w:rsidRDefault="00AF5F60" w:rsidP="003F05A4">
      <w:pPr>
        <w:pStyle w:val="ListParagraph"/>
        <w:numPr>
          <w:ilvl w:val="0"/>
          <w:numId w:val="2"/>
        </w:numPr>
        <w:jc w:val="both"/>
      </w:pPr>
      <w:r>
        <w:t>WRES - Workforce Race Equality Standard</w:t>
      </w:r>
    </w:p>
    <w:p w14:paraId="0883175D" w14:textId="41D8E31C" w:rsidR="0007731B" w:rsidRPr="007476FB" w:rsidRDefault="0007731B" w:rsidP="003F05A4">
      <w:pPr>
        <w:pStyle w:val="ListParagraph"/>
        <w:numPr>
          <w:ilvl w:val="0"/>
          <w:numId w:val="2"/>
        </w:numPr>
        <w:jc w:val="both"/>
      </w:pPr>
      <w:r>
        <w:t xml:space="preserve">CPD – Continuous Professional Development </w:t>
      </w:r>
    </w:p>
    <w:p w14:paraId="60E0417E" w14:textId="01DBDE85" w:rsidR="006117F7" w:rsidRDefault="006117F7" w:rsidP="6EAAB41B">
      <w:pPr>
        <w:pStyle w:val="Heading1"/>
        <w:jc w:val="both"/>
      </w:pPr>
      <w:bookmarkStart w:id="1" w:name="_Toc196746724"/>
      <w:r>
        <w:t>Introduction</w:t>
      </w:r>
      <w:bookmarkEnd w:id="1"/>
    </w:p>
    <w:p w14:paraId="45DAF367" w14:textId="2217A01B" w:rsidR="006117F7" w:rsidRPr="0003714D" w:rsidRDefault="55AFF560" w:rsidP="00F15227">
      <w:pPr>
        <w:spacing w:before="120" w:after="60"/>
        <w:jc w:val="both"/>
        <w:rPr>
          <w:rFonts w:eastAsia="Segoe UI" w:cs="Segoe UI"/>
        </w:rPr>
      </w:pPr>
      <w:r w:rsidRPr="0003714D">
        <w:rPr>
          <w:rFonts w:eastAsia="Segoe UI" w:cs="Segoe UI"/>
        </w:rPr>
        <w:t xml:space="preserve">The Workforce Race Equality Standard (WRES), introduced in 2016, aims to improve the workplace and career experiences of </w:t>
      </w:r>
      <w:r w:rsidR="005C7075" w:rsidRPr="0003714D">
        <w:rPr>
          <w:rFonts w:eastAsia="Segoe UI" w:cs="Segoe UI"/>
        </w:rPr>
        <w:t>staff from ethnically diverse backgrounds</w:t>
      </w:r>
      <w:r w:rsidRPr="0003714D">
        <w:rPr>
          <w:rFonts w:eastAsia="Segoe UI" w:cs="Segoe UI"/>
        </w:rPr>
        <w:t xml:space="preserve"> across the NHS. It comprises nine specific metrics that enable NHS organisations to compare the experiences of </w:t>
      </w:r>
      <w:r w:rsidR="001763DD" w:rsidRPr="0003714D">
        <w:rPr>
          <w:rFonts w:eastAsia="Segoe UI" w:cs="Segoe UI"/>
        </w:rPr>
        <w:t>ethnically diverse staff with those of</w:t>
      </w:r>
      <w:r w:rsidR="0037628C" w:rsidRPr="0003714D">
        <w:rPr>
          <w:rFonts w:eastAsia="Segoe UI" w:cs="Segoe UI"/>
        </w:rPr>
        <w:t xml:space="preserve"> </w:t>
      </w:r>
      <w:r w:rsidRPr="0003714D">
        <w:rPr>
          <w:rFonts w:eastAsia="Segoe UI" w:cs="Segoe UI"/>
        </w:rPr>
        <w:t>white staff, helping to identify disparities and drive meaningful change.</w:t>
      </w:r>
    </w:p>
    <w:p w14:paraId="2FF837D3" w14:textId="7ED8EE94" w:rsidR="55AFF560" w:rsidRPr="0003714D" w:rsidRDefault="55AFF560" w:rsidP="00F15227">
      <w:pPr>
        <w:spacing w:before="120" w:after="60"/>
        <w:jc w:val="both"/>
        <w:rPr>
          <w:rFonts w:eastAsia="Segoe UI" w:cs="Segoe UI"/>
        </w:rPr>
      </w:pPr>
      <w:r w:rsidRPr="0003714D">
        <w:rPr>
          <w:rFonts w:eastAsia="Segoe UI" w:cs="Segoe UI"/>
        </w:rPr>
        <w:t>This report presents The Dudley Group NHS Foundation Trust’s performance against the WRES metrics for 2025. It highlights key trends, areas of progress, and ongoing challenges, and informs our strategic actions to advance racial equity across the organisation.</w:t>
      </w:r>
    </w:p>
    <w:p w14:paraId="36C0C8F6" w14:textId="7730A134" w:rsidR="000E763D" w:rsidRPr="0003714D" w:rsidRDefault="000E763D" w:rsidP="00F15227">
      <w:pPr>
        <w:spacing w:before="120" w:after="60"/>
        <w:jc w:val="both"/>
        <w:rPr>
          <w:rFonts w:eastAsia="Segoe UI" w:cs="Segoe UI"/>
        </w:rPr>
      </w:pPr>
      <w:r w:rsidRPr="0003714D">
        <w:rPr>
          <w:rFonts w:eastAsia="Segoe UI" w:cs="Segoe UI"/>
        </w:rPr>
        <w:t>Data from our Electronic Staff Record (ESR) and the NHS Annual Staff Survey are used to compile the data sets</w:t>
      </w:r>
      <w:r w:rsidR="004C3893" w:rsidRPr="0003714D">
        <w:rPr>
          <w:rFonts w:eastAsia="Segoe UI" w:cs="Segoe UI"/>
        </w:rPr>
        <w:t>, meaning that the language used to describe staff groups differ.</w:t>
      </w:r>
    </w:p>
    <w:p w14:paraId="349042A5" w14:textId="7465E2DD" w:rsidR="55AFF560" w:rsidRPr="0003714D" w:rsidRDefault="55AFF560" w:rsidP="00F15227">
      <w:pPr>
        <w:spacing w:before="120" w:after="60"/>
        <w:jc w:val="both"/>
        <w:rPr>
          <w:rFonts w:eastAsia="Segoe UI" w:cs="Segoe UI"/>
        </w:rPr>
      </w:pPr>
      <w:r w:rsidRPr="0003714D">
        <w:rPr>
          <w:rFonts w:eastAsia="Segoe UI" w:cs="Segoe UI"/>
        </w:rPr>
        <w:t>The WRES is mandated through the NHS Standard Contract and overseen by the Equality and Diversity Council. Metrics 5 to 8 are derived from the NHS Staff Survey. In 2024, 49% of our workforce participated in the survey, with 24.8% of responses from ethnically diverse staff.</w:t>
      </w:r>
    </w:p>
    <w:p w14:paraId="2B438E0E" w14:textId="0FEDF756" w:rsidR="006117F7" w:rsidRPr="0003714D" w:rsidRDefault="55AFF560" w:rsidP="002C3C34">
      <w:pPr>
        <w:spacing w:before="120" w:after="60"/>
        <w:jc w:val="both"/>
        <w:rPr>
          <w:rFonts w:eastAsia="Segoe UI" w:cs="Segoe UI"/>
        </w:rPr>
      </w:pPr>
      <w:r w:rsidRPr="0003714D">
        <w:rPr>
          <w:rFonts w:eastAsia="Segoe UI" w:cs="Segoe UI"/>
        </w:rPr>
        <w:t>Our workforce comprises approximately 6,000 staff. As of March 2025, 29% of our colleagues identify as belonging to an ethnic group other than white</w:t>
      </w:r>
      <w:r w:rsidR="000E763D" w:rsidRPr="0003714D">
        <w:rPr>
          <w:rFonts w:eastAsia="Segoe UI" w:cs="Segoe UI"/>
        </w:rPr>
        <w:t>, a</w:t>
      </w:r>
      <w:r w:rsidRPr="0003714D">
        <w:rPr>
          <w:rFonts w:eastAsia="Segoe UI" w:cs="Segoe UI"/>
        </w:rPr>
        <w:t xml:space="preserve"> 1.5 percentage point increase from the previous year. The proportion of staff who have not disclosed their ethnicity has decreased to 7%, reflecting improved data completeness and trust in our reporting processes.</w:t>
      </w:r>
    </w:p>
    <w:p w14:paraId="0E37F876" w14:textId="77777777" w:rsidR="000F2043" w:rsidRPr="0003714D" w:rsidRDefault="000F2043" w:rsidP="002C3C34">
      <w:pPr>
        <w:spacing w:before="120" w:after="60"/>
        <w:jc w:val="both"/>
        <w:rPr>
          <w:rFonts w:eastAsia="Segoe UI" w:cs="Segoe UI"/>
        </w:rPr>
      </w:pPr>
    </w:p>
    <w:p w14:paraId="395F89BB" w14:textId="0FEDF756" w:rsidR="006117F7" w:rsidRPr="00F15227" w:rsidRDefault="006117F7" w:rsidP="00F15227">
      <w:pPr>
        <w:pStyle w:val="Heading1"/>
        <w:jc w:val="both"/>
        <w:rPr>
          <w:rFonts w:asciiTheme="minorHAnsi" w:hAnsiTheme="minorHAnsi"/>
        </w:rPr>
      </w:pPr>
      <w:bookmarkStart w:id="2" w:name="_Toc196746725"/>
      <w:r w:rsidRPr="00F15227">
        <w:rPr>
          <w:rFonts w:asciiTheme="minorHAnsi" w:hAnsiTheme="minorHAnsi"/>
        </w:rPr>
        <w:lastRenderedPageBreak/>
        <w:t>Executive Summary</w:t>
      </w:r>
      <w:bookmarkEnd w:id="2"/>
    </w:p>
    <w:p w14:paraId="3A4D217D" w14:textId="317188C4" w:rsidR="00166354" w:rsidRPr="0003714D" w:rsidRDefault="2F05F236" w:rsidP="00F15227">
      <w:pPr>
        <w:spacing w:before="120" w:after="60"/>
        <w:jc w:val="both"/>
        <w:rPr>
          <w:rFonts w:eastAsia="Segoe UI" w:cs="Segoe UI"/>
        </w:rPr>
      </w:pPr>
      <w:r w:rsidRPr="00F15227">
        <w:rPr>
          <w:rFonts w:eastAsia="Segoe UI" w:cs="Segoe UI"/>
          <w:color w:val="424242"/>
        </w:rPr>
        <w:t xml:space="preserve"> </w:t>
      </w:r>
      <w:r w:rsidRPr="0003714D">
        <w:rPr>
          <w:rFonts w:eastAsia="Segoe UI" w:cs="Segoe UI"/>
        </w:rPr>
        <w:t>At The Dudley Group, we are committed to fostering an inclusive culture where diversity is valued, championed, and embedded at every level. We believe a diverse and engaged workforce is essential to delivering high-quality, compassionate care and driving innovation across our services.</w:t>
      </w:r>
    </w:p>
    <w:p w14:paraId="012BB29D" w14:textId="2DF8E1B0" w:rsidR="2F05F236" w:rsidRPr="0003714D" w:rsidRDefault="2F05F236" w:rsidP="00F15227">
      <w:pPr>
        <w:spacing w:before="120" w:after="60"/>
        <w:jc w:val="both"/>
        <w:rPr>
          <w:rFonts w:eastAsia="Segoe UI" w:cs="Segoe UI"/>
        </w:rPr>
      </w:pPr>
      <w:r w:rsidRPr="0003714D">
        <w:rPr>
          <w:rFonts w:eastAsia="Segoe UI" w:cs="Segoe UI"/>
        </w:rPr>
        <w:t xml:space="preserve">The 2025 Workforce Race Equality Standard (WRES) results reflect progress and persistent challenges. While representation of </w:t>
      </w:r>
      <w:r w:rsidR="004968F8" w:rsidRPr="0003714D">
        <w:rPr>
          <w:rFonts w:eastAsia="Segoe UI" w:cs="Segoe UI"/>
        </w:rPr>
        <w:t>staff from ethnically diverse backgrounds</w:t>
      </w:r>
      <w:r w:rsidRPr="0003714D">
        <w:rPr>
          <w:rFonts w:eastAsia="Segoe UI" w:cs="Segoe UI"/>
        </w:rPr>
        <w:t xml:space="preserve"> has increased, disparities remain in recruitment, disciplinary processes, access to development, and senior leadership representation.</w:t>
      </w:r>
    </w:p>
    <w:p w14:paraId="410018AD" w14:textId="4FBE61AD" w:rsidR="2F05F236" w:rsidRDefault="2F05F236" w:rsidP="00F15227">
      <w:pPr>
        <w:pStyle w:val="Heading4"/>
        <w:spacing w:before="180" w:after="60" w:line="360" w:lineRule="auto"/>
        <w:jc w:val="both"/>
        <w:rPr>
          <w:rFonts w:eastAsia="Segoe UI" w:cs="Segoe UI"/>
          <w:b/>
          <w:bCs/>
          <w:i w:val="0"/>
          <w:iCs w:val="0"/>
          <w:color w:val="424242"/>
          <w:sz w:val="27"/>
          <w:szCs w:val="27"/>
        </w:rPr>
      </w:pPr>
      <w:r w:rsidRPr="00F15227">
        <w:rPr>
          <w:rFonts w:eastAsia="Segoe UI" w:cs="Segoe UI"/>
          <w:b/>
          <w:bCs/>
          <w:i w:val="0"/>
          <w:iCs w:val="0"/>
          <w:color w:val="424242"/>
          <w:sz w:val="27"/>
          <w:szCs w:val="27"/>
        </w:rPr>
        <w:t>Key Highlights:</w:t>
      </w:r>
    </w:p>
    <w:p w14:paraId="3598B30A" w14:textId="5048F248" w:rsidR="008C4551" w:rsidRPr="003D0C9B" w:rsidRDefault="008C4551" w:rsidP="008C4551">
      <w:pPr>
        <w:rPr>
          <w:b/>
          <w:bCs/>
          <w:u w:val="single"/>
        </w:rPr>
      </w:pPr>
      <w:r w:rsidRPr="003D0C9B">
        <w:rPr>
          <w:b/>
          <w:bCs/>
          <w:u w:val="single"/>
        </w:rPr>
        <w:t>Improved measures</w:t>
      </w:r>
      <w:r w:rsidR="0053753B">
        <w:rPr>
          <w:b/>
          <w:bCs/>
          <w:u w:val="single"/>
        </w:rPr>
        <w:t xml:space="preserve"> in 2025</w:t>
      </w:r>
    </w:p>
    <w:p w14:paraId="4F57BF03" w14:textId="77777777" w:rsidR="003D0C9B" w:rsidRPr="00110AA0" w:rsidRDefault="003D0C9B" w:rsidP="003F05A4">
      <w:pPr>
        <w:pStyle w:val="ListParagraph"/>
        <w:numPr>
          <w:ilvl w:val="0"/>
          <w:numId w:val="1"/>
        </w:numPr>
        <w:spacing w:after="0"/>
        <w:jc w:val="both"/>
        <w:rPr>
          <w:rFonts w:eastAsia="Segoe UI" w:cs="Segoe UI"/>
        </w:rPr>
      </w:pPr>
      <w:r w:rsidRPr="00110AA0">
        <w:rPr>
          <w:rFonts w:eastAsia="Segoe UI" w:cs="Segoe UI"/>
          <w:b/>
          <w:bCs/>
        </w:rPr>
        <w:t>Workforce Representation</w:t>
      </w:r>
      <w:r w:rsidRPr="00110AA0">
        <w:rPr>
          <w:rFonts w:eastAsia="Segoe UI" w:cs="Segoe UI"/>
        </w:rPr>
        <w:t xml:space="preserve">: Staff from ethnically diverse backgrounds now comprise 29% of our workforce, with undeclared ethnicity reducing from 9% to 7%. </w:t>
      </w:r>
    </w:p>
    <w:p w14:paraId="643126F9" w14:textId="77777777" w:rsidR="00FD11EC" w:rsidRPr="00110AA0" w:rsidRDefault="00FD11EC" w:rsidP="003F05A4">
      <w:pPr>
        <w:pStyle w:val="ListParagraph"/>
        <w:numPr>
          <w:ilvl w:val="0"/>
          <w:numId w:val="1"/>
        </w:numPr>
        <w:spacing w:after="0"/>
        <w:jc w:val="both"/>
        <w:rPr>
          <w:rFonts w:eastAsia="Segoe UI" w:cs="Segoe UI"/>
        </w:rPr>
      </w:pPr>
      <w:r w:rsidRPr="00110AA0">
        <w:rPr>
          <w:rFonts w:eastAsia="Segoe UI" w:cs="Segoe UI"/>
          <w:b/>
          <w:bCs/>
        </w:rPr>
        <w:t>Disciplinary</w:t>
      </w:r>
      <w:r w:rsidRPr="00110AA0">
        <w:rPr>
          <w:rFonts w:eastAsia="Segoe UI" w:cs="Segoe UI"/>
        </w:rPr>
        <w:t xml:space="preserve">: Staff from ethnically diverse backgrounds are 1.51 times more likely to enter formal disciplinary processes than white colleagues. </w:t>
      </w:r>
    </w:p>
    <w:p w14:paraId="633EE681" w14:textId="77777777" w:rsidR="00F22877" w:rsidRPr="00110AA0" w:rsidRDefault="00F22877" w:rsidP="003F05A4">
      <w:pPr>
        <w:pStyle w:val="ListParagraph"/>
        <w:numPr>
          <w:ilvl w:val="0"/>
          <w:numId w:val="1"/>
        </w:numPr>
        <w:spacing w:after="0"/>
        <w:jc w:val="both"/>
        <w:rPr>
          <w:rFonts w:eastAsia="Segoe UI" w:cs="Segoe UI"/>
        </w:rPr>
      </w:pPr>
      <w:r w:rsidRPr="00110AA0">
        <w:rPr>
          <w:rFonts w:eastAsia="Segoe UI" w:cs="Segoe UI"/>
          <w:b/>
          <w:bCs/>
        </w:rPr>
        <w:t>Internal Bullying</w:t>
      </w:r>
      <w:r w:rsidRPr="00110AA0">
        <w:rPr>
          <w:rFonts w:eastAsia="Segoe UI" w:cs="Segoe UI"/>
        </w:rPr>
        <w:t>: Reports declined for both groups, with a 2.7% drop among staff from ethnically diverse backgrounds.</w:t>
      </w:r>
    </w:p>
    <w:p w14:paraId="77C82C76" w14:textId="3005A2AD" w:rsidR="008C4551" w:rsidRPr="00110AA0" w:rsidRDefault="00F22877" w:rsidP="003F05A4">
      <w:pPr>
        <w:pStyle w:val="ListParagraph"/>
        <w:numPr>
          <w:ilvl w:val="0"/>
          <w:numId w:val="1"/>
        </w:numPr>
        <w:spacing w:after="0"/>
        <w:jc w:val="both"/>
        <w:rPr>
          <w:rFonts w:eastAsia="Segoe UI" w:cs="Segoe UI"/>
        </w:rPr>
      </w:pPr>
      <w:r w:rsidRPr="00110AA0">
        <w:rPr>
          <w:rFonts w:eastAsia="Segoe UI" w:cs="Segoe UI"/>
          <w:b/>
          <w:bCs/>
        </w:rPr>
        <w:t>Discrimination</w:t>
      </w:r>
      <w:r w:rsidRPr="00110AA0">
        <w:rPr>
          <w:rFonts w:eastAsia="Segoe UI" w:cs="Segoe UI"/>
        </w:rPr>
        <w:t>: Reports of discrimination from managers or colleagues slightly declined but remain significantly higher for staff from ethnically diverse background (18.3% vs. 5.7%).</w:t>
      </w:r>
    </w:p>
    <w:p w14:paraId="718555B0" w14:textId="77777777" w:rsidR="0053753B" w:rsidRPr="00110AA0" w:rsidRDefault="0053753B" w:rsidP="008C4551">
      <w:pPr>
        <w:rPr>
          <w:b/>
          <w:bCs/>
          <w:u w:val="single"/>
        </w:rPr>
      </w:pPr>
    </w:p>
    <w:p w14:paraId="29FB58B4" w14:textId="4BA20EA9" w:rsidR="008C4551" w:rsidRPr="003D0C9B" w:rsidRDefault="008C4551" w:rsidP="008C4551">
      <w:pPr>
        <w:rPr>
          <w:b/>
          <w:bCs/>
          <w:u w:val="single"/>
        </w:rPr>
      </w:pPr>
      <w:r w:rsidRPr="003D0C9B">
        <w:rPr>
          <w:b/>
          <w:bCs/>
          <w:u w:val="single"/>
        </w:rPr>
        <w:t>Declined measures</w:t>
      </w:r>
      <w:r w:rsidR="0053753B">
        <w:rPr>
          <w:b/>
          <w:bCs/>
          <w:u w:val="single"/>
        </w:rPr>
        <w:t xml:space="preserve"> in 2025</w:t>
      </w:r>
    </w:p>
    <w:p w14:paraId="510DD53F" w14:textId="06216D12" w:rsidR="2F05F236" w:rsidRPr="00110AA0" w:rsidRDefault="2F05F236" w:rsidP="003F05A4">
      <w:pPr>
        <w:pStyle w:val="ListParagraph"/>
        <w:numPr>
          <w:ilvl w:val="0"/>
          <w:numId w:val="1"/>
        </w:numPr>
        <w:spacing w:after="0"/>
        <w:jc w:val="both"/>
        <w:rPr>
          <w:rFonts w:eastAsia="Segoe UI" w:cs="Segoe UI"/>
        </w:rPr>
      </w:pPr>
      <w:r w:rsidRPr="00110AA0">
        <w:rPr>
          <w:rFonts w:eastAsia="Segoe UI" w:cs="Segoe UI"/>
          <w:b/>
          <w:bCs/>
        </w:rPr>
        <w:t>Recruitment</w:t>
      </w:r>
      <w:r w:rsidRPr="00110AA0">
        <w:rPr>
          <w:rFonts w:eastAsia="Segoe UI" w:cs="Segoe UI"/>
        </w:rPr>
        <w:t xml:space="preserve">: </w:t>
      </w:r>
      <w:r w:rsidR="00EE61BE" w:rsidRPr="00110AA0">
        <w:rPr>
          <w:rFonts w:eastAsia="Segoe UI" w:cs="Segoe UI"/>
        </w:rPr>
        <w:t>A</w:t>
      </w:r>
      <w:r w:rsidRPr="00110AA0">
        <w:rPr>
          <w:rFonts w:eastAsia="Segoe UI" w:cs="Segoe UI"/>
        </w:rPr>
        <w:t>pplicants</w:t>
      </w:r>
      <w:r w:rsidR="00EE61BE" w:rsidRPr="00110AA0">
        <w:rPr>
          <w:rFonts w:eastAsia="Segoe UI" w:cs="Segoe UI"/>
        </w:rPr>
        <w:t xml:space="preserve"> who are white</w:t>
      </w:r>
      <w:r w:rsidRPr="00110AA0">
        <w:rPr>
          <w:rFonts w:eastAsia="Segoe UI" w:cs="Segoe UI"/>
        </w:rPr>
        <w:t xml:space="preserve"> remain 1.55 times more likely to be appointed from shortlisting than </w:t>
      </w:r>
      <w:r w:rsidR="00EE61BE" w:rsidRPr="00110AA0">
        <w:rPr>
          <w:rFonts w:eastAsia="Segoe UI" w:cs="Segoe UI"/>
        </w:rPr>
        <w:t xml:space="preserve">applicants from </w:t>
      </w:r>
      <w:r w:rsidRPr="00110AA0">
        <w:rPr>
          <w:rFonts w:eastAsia="Segoe UI" w:cs="Segoe UI"/>
        </w:rPr>
        <w:t>ethnically diverse</w:t>
      </w:r>
      <w:r w:rsidR="00EE61BE" w:rsidRPr="00110AA0">
        <w:rPr>
          <w:rFonts w:eastAsia="Segoe UI" w:cs="Segoe UI"/>
        </w:rPr>
        <w:t xml:space="preserve"> backgrounds</w:t>
      </w:r>
      <w:r w:rsidRPr="00110AA0">
        <w:rPr>
          <w:rFonts w:eastAsia="Segoe UI" w:cs="Segoe UI"/>
        </w:rPr>
        <w:t xml:space="preserve"> (19% vs.12%).</w:t>
      </w:r>
    </w:p>
    <w:p w14:paraId="1BDF8EE3" w14:textId="212D770C" w:rsidR="2F05F236" w:rsidRPr="00110AA0" w:rsidRDefault="2F05F236" w:rsidP="003F05A4">
      <w:pPr>
        <w:pStyle w:val="ListParagraph"/>
        <w:numPr>
          <w:ilvl w:val="0"/>
          <w:numId w:val="1"/>
        </w:numPr>
        <w:spacing w:after="0"/>
        <w:jc w:val="both"/>
        <w:rPr>
          <w:rFonts w:eastAsia="Segoe UI" w:cs="Segoe UI"/>
        </w:rPr>
      </w:pPr>
      <w:r w:rsidRPr="00110AA0">
        <w:rPr>
          <w:rFonts w:eastAsia="Segoe UI" w:cs="Segoe UI"/>
          <w:b/>
          <w:bCs/>
        </w:rPr>
        <w:t>Development Access</w:t>
      </w:r>
      <w:r w:rsidRPr="00110AA0">
        <w:rPr>
          <w:rFonts w:eastAsia="Segoe UI" w:cs="Segoe UI"/>
        </w:rPr>
        <w:t xml:space="preserve">: </w:t>
      </w:r>
      <w:r w:rsidR="00B62912" w:rsidRPr="00110AA0">
        <w:rPr>
          <w:rFonts w:eastAsia="Segoe UI" w:cs="Segoe UI"/>
        </w:rPr>
        <w:t>S</w:t>
      </w:r>
      <w:r w:rsidRPr="00110AA0">
        <w:rPr>
          <w:rFonts w:eastAsia="Segoe UI" w:cs="Segoe UI"/>
        </w:rPr>
        <w:t>taff</w:t>
      </w:r>
      <w:r w:rsidR="00B62912" w:rsidRPr="00110AA0">
        <w:rPr>
          <w:rFonts w:eastAsia="Segoe UI" w:cs="Segoe UI"/>
        </w:rPr>
        <w:t xml:space="preserve"> from</w:t>
      </w:r>
      <w:r w:rsidR="00DB5438" w:rsidRPr="00110AA0">
        <w:rPr>
          <w:rFonts w:eastAsia="Segoe UI" w:cs="Segoe UI"/>
        </w:rPr>
        <w:t xml:space="preserve"> a</w:t>
      </w:r>
      <w:r w:rsidR="00B62912" w:rsidRPr="00110AA0">
        <w:rPr>
          <w:rFonts w:eastAsia="Segoe UI" w:cs="Segoe UI"/>
        </w:rPr>
        <w:t xml:space="preserve"> white background</w:t>
      </w:r>
      <w:r w:rsidRPr="00110AA0">
        <w:rPr>
          <w:rFonts w:eastAsia="Segoe UI" w:cs="Segoe UI"/>
        </w:rPr>
        <w:t xml:space="preserve"> are 1.28 times more likely to access non-mandatory training and CPD.</w:t>
      </w:r>
    </w:p>
    <w:p w14:paraId="62565B04" w14:textId="64B9726A" w:rsidR="2F05F236" w:rsidRPr="00110AA0" w:rsidRDefault="2F05F236" w:rsidP="003F05A4">
      <w:pPr>
        <w:pStyle w:val="ListParagraph"/>
        <w:numPr>
          <w:ilvl w:val="0"/>
          <w:numId w:val="1"/>
        </w:numPr>
        <w:spacing w:after="0"/>
        <w:jc w:val="both"/>
        <w:rPr>
          <w:rFonts w:eastAsia="Segoe UI" w:cs="Segoe UI"/>
        </w:rPr>
      </w:pPr>
      <w:r w:rsidRPr="00110AA0">
        <w:rPr>
          <w:rFonts w:eastAsia="Segoe UI" w:cs="Segoe UI"/>
          <w:b/>
          <w:bCs/>
        </w:rPr>
        <w:t>Harassment from the Public</w:t>
      </w:r>
      <w:r w:rsidRPr="00110AA0">
        <w:rPr>
          <w:rFonts w:eastAsia="Segoe UI" w:cs="Segoe UI"/>
        </w:rPr>
        <w:t>: Reports increased among</w:t>
      </w:r>
      <w:r w:rsidR="00B62912" w:rsidRPr="00110AA0">
        <w:rPr>
          <w:rFonts w:eastAsia="Segoe UI" w:cs="Segoe UI"/>
        </w:rPr>
        <w:t xml:space="preserve"> staff from ethnically diverse backgrounds</w:t>
      </w:r>
      <w:r w:rsidRPr="00110AA0">
        <w:rPr>
          <w:rFonts w:eastAsia="Segoe UI" w:cs="Segoe UI"/>
        </w:rPr>
        <w:t xml:space="preserve"> (2</w:t>
      </w:r>
      <w:r w:rsidR="00BE2788" w:rsidRPr="00110AA0">
        <w:rPr>
          <w:rFonts w:eastAsia="Segoe UI" w:cs="Segoe UI"/>
        </w:rPr>
        <w:t>7</w:t>
      </w:r>
      <w:r w:rsidRPr="00110AA0">
        <w:rPr>
          <w:rFonts w:eastAsia="Segoe UI" w:cs="Segoe UI"/>
        </w:rPr>
        <w:t xml:space="preserve">%) and decreased among </w:t>
      </w:r>
      <w:r w:rsidR="00E77728" w:rsidRPr="00110AA0">
        <w:rPr>
          <w:rFonts w:eastAsia="Segoe UI" w:cs="Segoe UI"/>
        </w:rPr>
        <w:t xml:space="preserve">staff from a </w:t>
      </w:r>
      <w:r w:rsidRPr="00110AA0">
        <w:rPr>
          <w:rFonts w:eastAsia="Segoe UI" w:cs="Segoe UI"/>
        </w:rPr>
        <w:t xml:space="preserve">white </w:t>
      </w:r>
      <w:r w:rsidR="00E77728" w:rsidRPr="00110AA0">
        <w:rPr>
          <w:rFonts w:eastAsia="Segoe UI" w:cs="Segoe UI"/>
        </w:rPr>
        <w:t>background</w:t>
      </w:r>
      <w:r w:rsidRPr="00110AA0">
        <w:rPr>
          <w:rFonts w:eastAsia="Segoe UI" w:cs="Segoe UI"/>
        </w:rPr>
        <w:t xml:space="preserve"> (21.67%).</w:t>
      </w:r>
    </w:p>
    <w:p w14:paraId="6CA4348D" w14:textId="7EC9BF0A" w:rsidR="2F05F236" w:rsidRPr="00110AA0" w:rsidRDefault="2F05F236" w:rsidP="003F05A4">
      <w:pPr>
        <w:pStyle w:val="ListParagraph"/>
        <w:numPr>
          <w:ilvl w:val="0"/>
          <w:numId w:val="1"/>
        </w:numPr>
        <w:spacing w:after="0"/>
        <w:jc w:val="both"/>
        <w:rPr>
          <w:rFonts w:eastAsia="Segoe UI" w:cs="Segoe UI"/>
        </w:rPr>
      </w:pPr>
      <w:r w:rsidRPr="00110AA0">
        <w:rPr>
          <w:rFonts w:eastAsia="Segoe UI" w:cs="Segoe UI"/>
          <w:b/>
          <w:bCs/>
        </w:rPr>
        <w:t>Career Progression</w:t>
      </w:r>
      <w:r w:rsidRPr="00110AA0">
        <w:rPr>
          <w:rFonts w:eastAsia="Segoe UI" w:cs="Segoe UI"/>
        </w:rPr>
        <w:t xml:space="preserve">: Perceptions of equal opportunity remain unchanged </w:t>
      </w:r>
      <w:r w:rsidR="00DB5438" w:rsidRPr="00110AA0">
        <w:rPr>
          <w:rFonts w:eastAsia="Segoe UI" w:cs="Segoe UI"/>
        </w:rPr>
        <w:t>at 51.8% for staff from ethnically diverse backgrounds</w:t>
      </w:r>
      <w:r w:rsidRPr="00110AA0">
        <w:rPr>
          <w:rFonts w:eastAsia="Segoe UI" w:cs="Segoe UI"/>
        </w:rPr>
        <w:t xml:space="preserve">, with a 10.3% gap compared to </w:t>
      </w:r>
      <w:r w:rsidR="00C2263B" w:rsidRPr="00110AA0">
        <w:rPr>
          <w:rFonts w:eastAsia="Segoe UI" w:cs="Segoe UI"/>
        </w:rPr>
        <w:t>staff from</w:t>
      </w:r>
      <w:r w:rsidR="00DB5438" w:rsidRPr="00110AA0">
        <w:rPr>
          <w:rFonts w:eastAsia="Segoe UI" w:cs="Segoe UI"/>
        </w:rPr>
        <w:t xml:space="preserve"> a</w:t>
      </w:r>
      <w:r w:rsidR="00C2263B" w:rsidRPr="00110AA0">
        <w:rPr>
          <w:rFonts w:eastAsia="Segoe UI" w:cs="Segoe UI"/>
        </w:rPr>
        <w:t xml:space="preserve"> </w:t>
      </w:r>
      <w:r w:rsidRPr="00110AA0">
        <w:rPr>
          <w:rFonts w:eastAsia="Segoe UI" w:cs="Segoe UI"/>
        </w:rPr>
        <w:t xml:space="preserve">white </w:t>
      </w:r>
      <w:r w:rsidR="00C2263B" w:rsidRPr="00110AA0">
        <w:rPr>
          <w:rFonts w:eastAsia="Segoe UI" w:cs="Segoe UI"/>
        </w:rPr>
        <w:t>background</w:t>
      </w:r>
      <w:r w:rsidRPr="00110AA0">
        <w:rPr>
          <w:rFonts w:eastAsia="Segoe UI" w:cs="Segoe UI"/>
        </w:rPr>
        <w:t>.</w:t>
      </w:r>
    </w:p>
    <w:p w14:paraId="2314D31E" w14:textId="51829BEF" w:rsidR="2F05F236" w:rsidRPr="00110AA0" w:rsidRDefault="2F05F236" w:rsidP="003F05A4">
      <w:pPr>
        <w:pStyle w:val="ListParagraph"/>
        <w:numPr>
          <w:ilvl w:val="0"/>
          <w:numId w:val="1"/>
        </w:numPr>
        <w:spacing w:after="0"/>
        <w:jc w:val="both"/>
        <w:rPr>
          <w:rFonts w:eastAsia="Segoe UI" w:cs="Segoe UI"/>
        </w:rPr>
      </w:pPr>
      <w:r w:rsidRPr="00110AA0">
        <w:rPr>
          <w:rFonts w:eastAsia="Segoe UI" w:cs="Segoe UI"/>
          <w:b/>
          <w:bCs/>
        </w:rPr>
        <w:t>Board Representation</w:t>
      </w:r>
      <w:r w:rsidRPr="00110AA0">
        <w:rPr>
          <w:rFonts w:eastAsia="Segoe UI" w:cs="Segoe UI"/>
        </w:rPr>
        <w:t>: Ethnic diversity at Board level fell to 9.5%, well below the 29% workforce benchmark.</w:t>
      </w:r>
    </w:p>
    <w:p w14:paraId="56E622C2" w14:textId="10F27C80" w:rsidR="2F05F236" w:rsidRPr="00110AA0" w:rsidRDefault="2F05F236" w:rsidP="00F15227">
      <w:pPr>
        <w:spacing w:before="120" w:after="60"/>
        <w:jc w:val="both"/>
        <w:rPr>
          <w:rFonts w:eastAsia="Segoe UI" w:cs="Segoe UI"/>
        </w:rPr>
      </w:pPr>
      <w:r w:rsidRPr="00110AA0">
        <w:rPr>
          <w:rFonts w:eastAsia="Segoe UI" w:cs="Segoe UI"/>
        </w:rPr>
        <w:lastRenderedPageBreak/>
        <w:t>These findings underscore the importance of sustained, targeted action. Our refreshed WRES action plan focuses on inclusive leadership, equitable recruitment and development, and a zero-tolerance approach to discrimination and harassment.</w:t>
      </w:r>
    </w:p>
    <w:p w14:paraId="2ABF2D11" w14:textId="035A212A" w:rsidR="6EAAB41B" w:rsidRPr="00110AA0" w:rsidRDefault="2F05F236" w:rsidP="008D31B1">
      <w:pPr>
        <w:spacing w:before="120" w:after="60"/>
        <w:jc w:val="both"/>
        <w:rPr>
          <w:rFonts w:eastAsia="Segoe UI" w:cs="Segoe UI"/>
        </w:rPr>
      </w:pPr>
      <w:r w:rsidRPr="00110AA0">
        <w:rPr>
          <w:rFonts w:eastAsia="Segoe UI" w:cs="Segoe UI"/>
        </w:rPr>
        <w:t xml:space="preserve">We remain steadfast in our commitment to creating a workplace where </w:t>
      </w:r>
      <w:r w:rsidR="008D31B1" w:rsidRPr="00110AA0">
        <w:rPr>
          <w:rFonts w:eastAsia="Segoe UI" w:cs="Segoe UI"/>
        </w:rPr>
        <w:t>everyone</w:t>
      </w:r>
      <w:r w:rsidRPr="00110AA0">
        <w:rPr>
          <w:rFonts w:eastAsia="Segoe UI" w:cs="Segoe UI"/>
        </w:rPr>
        <w:t xml:space="preserve"> feels valued, supported, and empowered to thrive. This report is a key step toward a fairer, more inclusive future for all.</w:t>
      </w:r>
    </w:p>
    <w:p w14:paraId="7D866914" w14:textId="77777777" w:rsidR="008D31B1" w:rsidRPr="00110AA0" w:rsidRDefault="008D31B1" w:rsidP="00FC0237">
      <w:pPr>
        <w:spacing w:after="0"/>
        <w:jc w:val="both"/>
        <w:rPr>
          <w:rFonts w:eastAsia="Segoe UI" w:cs="Segoe UI"/>
        </w:rPr>
      </w:pPr>
    </w:p>
    <w:p w14:paraId="31E5450A" w14:textId="4178D367" w:rsidR="0053753B" w:rsidRDefault="00E14B95" w:rsidP="6EAAB41B">
      <w:pPr>
        <w:jc w:val="both"/>
      </w:pPr>
      <w:r w:rsidRPr="00110AA0">
        <w:t>It is important to note that a short while before the NHS Staff Survey 2023 was due to be published, a potential problem was discovered with the data for some of the questions. Statistical techniques have been used to compensate for the problem results, and the data for question 14 have been modified from those published previously. This means the data comparisons for 2023 are different to the previous published report. For more information, please see Survey Coordination Centres guidance:</w:t>
      </w:r>
      <w:r>
        <w:t xml:space="preserve"> </w:t>
      </w:r>
      <w:hyperlink r:id="rId12">
        <w:r w:rsidRPr="6EAAB41B">
          <w:rPr>
            <w:rStyle w:val="Hyperlink"/>
          </w:rPr>
          <w:t>Survey documents related to conducting the survey | NHS Staff Survey</w:t>
        </w:r>
      </w:hyperlink>
    </w:p>
    <w:p w14:paraId="7B3DB933" w14:textId="77777777" w:rsidR="000F2043" w:rsidRDefault="000F2043" w:rsidP="6EAAB41B">
      <w:pPr>
        <w:jc w:val="both"/>
      </w:pPr>
    </w:p>
    <w:p w14:paraId="0BDCE18B" w14:textId="77777777" w:rsidR="000F2043" w:rsidRDefault="000F2043" w:rsidP="6EAAB41B">
      <w:pPr>
        <w:jc w:val="both"/>
      </w:pPr>
    </w:p>
    <w:p w14:paraId="6A3AC28A" w14:textId="77777777" w:rsidR="000F2043" w:rsidRDefault="000F2043" w:rsidP="6EAAB41B">
      <w:pPr>
        <w:jc w:val="both"/>
      </w:pPr>
    </w:p>
    <w:p w14:paraId="374B9EB0" w14:textId="77777777" w:rsidR="000F2043" w:rsidRDefault="000F2043" w:rsidP="6EAAB41B">
      <w:pPr>
        <w:jc w:val="both"/>
      </w:pPr>
    </w:p>
    <w:p w14:paraId="128D1B4A" w14:textId="77777777" w:rsidR="000F2043" w:rsidRDefault="000F2043" w:rsidP="6EAAB41B">
      <w:pPr>
        <w:jc w:val="both"/>
      </w:pPr>
    </w:p>
    <w:p w14:paraId="188FA785" w14:textId="77777777" w:rsidR="000F2043" w:rsidRDefault="000F2043" w:rsidP="6EAAB41B">
      <w:pPr>
        <w:jc w:val="both"/>
      </w:pPr>
    </w:p>
    <w:p w14:paraId="14FDF1F9" w14:textId="77777777" w:rsidR="000F2043" w:rsidRDefault="000F2043" w:rsidP="6EAAB41B">
      <w:pPr>
        <w:jc w:val="both"/>
      </w:pPr>
    </w:p>
    <w:p w14:paraId="3D3446AC" w14:textId="77777777" w:rsidR="000F2043" w:rsidRDefault="000F2043" w:rsidP="6EAAB41B">
      <w:pPr>
        <w:jc w:val="both"/>
      </w:pPr>
    </w:p>
    <w:p w14:paraId="3A402BD8" w14:textId="77777777" w:rsidR="000F2043" w:rsidRDefault="000F2043" w:rsidP="6EAAB41B">
      <w:pPr>
        <w:jc w:val="both"/>
      </w:pPr>
    </w:p>
    <w:p w14:paraId="60D26428" w14:textId="77777777" w:rsidR="000F2043" w:rsidRDefault="000F2043" w:rsidP="6EAAB41B">
      <w:pPr>
        <w:jc w:val="both"/>
      </w:pPr>
    </w:p>
    <w:p w14:paraId="2EAB59A9" w14:textId="77777777" w:rsidR="000F2043" w:rsidRDefault="000F2043" w:rsidP="6EAAB41B">
      <w:pPr>
        <w:jc w:val="both"/>
      </w:pPr>
    </w:p>
    <w:p w14:paraId="1AA869B9" w14:textId="77777777" w:rsidR="000F2043" w:rsidRDefault="000F2043" w:rsidP="6EAAB41B">
      <w:pPr>
        <w:jc w:val="both"/>
      </w:pPr>
    </w:p>
    <w:p w14:paraId="2AAEC0A6" w14:textId="77777777" w:rsidR="000F2043" w:rsidRDefault="000F2043" w:rsidP="6EAAB41B">
      <w:pPr>
        <w:jc w:val="both"/>
      </w:pPr>
    </w:p>
    <w:p w14:paraId="01C94C13" w14:textId="77777777" w:rsidR="000F2043" w:rsidRDefault="000F2043" w:rsidP="6EAAB41B">
      <w:pPr>
        <w:jc w:val="both"/>
      </w:pPr>
    </w:p>
    <w:p w14:paraId="0A3AAE1A" w14:textId="5F1DC1D9" w:rsidR="006117F7" w:rsidRDefault="006117F7" w:rsidP="6EAAB41B">
      <w:pPr>
        <w:pStyle w:val="Heading1"/>
        <w:jc w:val="both"/>
      </w:pPr>
      <w:bookmarkStart w:id="3" w:name="_Toc196746726"/>
      <w:r>
        <w:lastRenderedPageBreak/>
        <w:t>Annual Submission Measures</w:t>
      </w:r>
      <w:bookmarkEnd w:id="3"/>
    </w:p>
    <w:p w14:paraId="01E2624B" w14:textId="77777777" w:rsidR="006117F7" w:rsidRPr="00110AA0" w:rsidRDefault="006117F7" w:rsidP="6EAAB41B">
      <w:pPr>
        <w:jc w:val="both"/>
      </w:pPr>
      <w:r w:rsidRPr="00110AA0">
        <w:t>The Workforce Race Equality Standard is a set of nine specific measures which enable NHS organisations to compare the workplace and career experiences of ethnically diverse staff (Black and Minority Ethic - BME) and White staff. </w:t>
      </w:r>
    </w:p>
    <w:p w14:paraId="64E17956" w14:textId="77777777" w:rsidR="006117F7" w:rsidRPr="00110AA0" w:rsidRDefault="006117F7" w:rsidP="6EAAB41B">
      <w:pPr>
        <w:jc w:val="both"/>
      </w:pPr>
      <w:r w:rsidRPr="00110AA0">
        <w:t>The Measures provide a high-level view; we have therefore completed a more detailed analysis to inform our conclusions and action plans.</w:t>
      </w:r>
    </w:p>
    <w:p w14:paraId="38F8CAE3" w14:textId="77777777" w:rsidR="006117F7" w:rsidRPr="00110AA0" w:rsidRDefault="006117F7" w:rsidP="6EAAB41B">
      <w:pPr>
        <w:jc w:val="both"/>
      </w:pPr>
      <w:r w:rsidRPr="00110AA0">
        <w:t>Workforce Race Equality Standard Metrics:</w:t>
      </w:r>
    </w:p>
    <w:p w14:paraId="3B8C2D7F" w14:textId="77777777" w:rsidR="006117F7" w:rsidRPr="00110AA0" w:rsidRDefault="006117F7" w:rsidP="6EAAB41B">
      <w:pPr>
        <w:jc w:val="both"/>
      </w:pPr>
      <w:r w:rsidRPr="00110AA0">
        <w:t>1. Workforce Representation</w:t>
      </w:r>
    </w:p>
    <w:p w14:paraId="0BBA4279" w14:textId="77777777" w:rsidR="006117F7" w:rsidRPr="00110AA0" w:rsidRDefault="006117F7" w:rsidP="6EAAB41B">
      <w:pPr>
        <w:jc w:val="both"/>
      </w:pPr>
      <w:r w:rsidRPr="00110AA0">
        <w:t>2. Recruitment</w:t>
      </w:r>
    </w:p>
    <w:p w14:paraId="0394CD90" w14:textId="77777777" w:rsidR="006117F7" w:rsidRPr="00110AA0" w:rsidRDefault="006117F7" w:rsidP="6EAAB41B">
      <w:pPr>
        <w:jc w:val="both"/>
      </w:pPr>
      <w:r w:rsidRPr="00110AA0">
        <w:t>3. Disciplinary </w:t>
      </w:r>
    </w:p>
    <w:p w14:paraId="7E9ECA3A" w14:textId="77777777" w:rsidR="006117F7" w:rsidRPr="00110AA0" w:rsidRDefault="006117F7" w:rsidP="6EAAB41B">
      <w:pPr>
        <w:jc w:val="both"/>
      </w:pPr>
      <w:r w:rsidRPr="00110AA0">
        <w:t>4. Training and Continuing Professional Development (CPD)</w:t>
      </w:r>
    </w:p>
    <w:p w14:paraId="2CC106C3" w14:textId="77777777" w:rsidR="006117F7" w:rsidRPr="00110AA0" w:rsidRDefault="006117F7" w:rsidP="6EAAB41B">
      <w:pPr>
        <w:jc w:val="both"/>
      </w:pPr>
      <w:r w:rsidRPr="00110AA0">
        <w:t>5. Harassment, Bullying and Abuse from Patients / Public</w:t>
      </w:r>
    </w:p>
    <w:p w14:paraId="042D2BB4" w14:textId="73D95B0D" w:rsidR="006117F7" w:rsidRPr="00110AA0" w:rsidRDefault="006117F7" w:rsidP="6EAAB41B">
      <w:pPr>
        <w:jc w:val="both"/>
      </w:pPr>
      <w:r w:rsidRPr="00110AA0">
        <w:t xml:space="preserve">6. Harassment, Bullying and Abuse from </w:t>
      </w:r>
      <w:r w:rsidR="00CD3974" w:rsidRPr="00110AA0">
        <w:t>Staff</w:t>
      </w:r>
    </w:p>
    <w:p w14:paraId="53F24918" w14:textId="77777777" w:rsidR="006117F7" w:rsidRPr="00110AA0" w:rsidRDefault="006117F7" w:rsidP="6EAAB41B">
      <w:pPr>
        <w:jc w:val="both"/>
      </w:pPr>
      <w:r w:rsidRPr="00110AA0">
        <w:t>7. Career Progression</w:t>
      </w:r>
    </w:p>
    <w:p w14:paraId="10EAFA1C" w14:textId="77777777" w:rsidR="006117F7" w:rsidRPr="00110AA0" w:rsidRDefault="006117F7" w:rsidP="6EAAB41B">
      <w:pPr>
        <w:jc w:val="both"/>
      </w:pPr>
      <w:r w:rsidRPr="00110AA0">
        <w:t>8. Discrimination</w:t>
      </w:r>
    </w:p>
    <w:p w14:paraId="2189B63A" w14:textId="77777777" w:rsidR="006117F7" w:rsidRPr="00110AA0" w:rsidRDefault="006117F7" w:rsidP="6EAAB41B">
      <w:pPr>
        <w:jc w:val="both"/>
      </w:pPr>
      <w:r w:rsidRPr="00110AA0">
        <w:t>9. Board Representation</w:t>
      </w:r>
    </w:p>
    <w:p w14:paraId="76C82587" w14:textId="77777777" w:rsidR="00946B49" w:rsidRDefault="00946B49" w:rsidP="6EAAB41B">
      <w:pPr>
        <w:jc w:val="both"/>
      </w:pPr>
    </w:p>
    <w:p w14:paraId="2B1990A1" w14:textId="77777777" w:rsidR="000F2043" w:rsidRDefault="000F2043" w:rsidP="6EAAB41B">
      <w:pPr>
        <w:jc w:val="both"/>
      </w:pPr>
    </w:p>
    <w:p w14:paraId="17D30F0C" w14:textId="77777777" w:rsidR="000F2043" w:rsidRDefault="000F2043" w:rsidP="6EAAB41B">
      <w:pPr>
        <w:jc w:val="both"/>
      </w:pPr>
    </w:p>
    <w:p w14:paraId="4758AF36" w14:textId="77777777" w:rsidR="000F2043" w:rsidRDefault="000F2043" w:rsidP="6EAAB41B">
      <w:pPr>
        <w:jc w:val="both"/>
      </w:pPr>
    </w:p>
    <w:p w14:paraId="63F6D550" w14:textId="77777777" w:rsidR="000F2043" w:rsidRDefault="000F2043" w:rsidP="6EAAB41B">
      <w:pPr>
        <w:jc w:val="both"/>
      </w:pPr>
    </w:p>
    <w:p w14:paraId="70E13E5C" w14:textId="77777777" w:rsidR="000F2043" w:rsidRDefault="000F2043" w:rsidP="6EAAB41B">
      <w:pPr>
        <w:jc w:val="both"/>
      </w:pPr>
    </w:p>
    <w:p w14:paraId="1F5B6A29" w14:textId="77777777" w:rsidR="000F2043" w:rsidRDefault="000F2043" w:rsidP="6EAAB41B">
      <w:pPr>
        <w:jc w:val="both"/>
      </w:pPr>
    </w:p>
    <w:p w14:paraId="23D16556" w14:textId="77777777" w:rsidR="000F2043" w:rsidRDefault="000F2043" w:rsidP="6EAAB41B">
      <w:pPr>
        <w:jc w:val="both"/>
      </w:pPr>
    </w:p>
    <w:p w14:paraId="6274F637" w14:textId="77777777" w:rsidR="000F2043" w:rsidRDefault="000F2043" w:rsidP="6EAAB41B">
      <w:pPr>
        <w:jc w:val="both"/>
      </w:pPr>
    </w:p>
    <w:p w14:paraId="49380834" w14:textId="77777777" w:rsidR="000F2043" w:rsidRDefault="000F2043" w:rsidP="6EAAB41B">
      <w:pPr>
        <w:jc w:val="both"/>
      </w:pPr>
    </w:p>
    <w:p w14:paraId="37D83C2A" w14:textId="0B22F901" w:rsidR="006117F7" w:rsidRDefault="006D3894" w:rsidP="6EAAB41B">
      <w:pPr>
        <w:pStyle w:val="Heading1"/>
        <w:jc w:val="both"/>
      </w:pPr>
      <w:bookmarkStart w:id="4" w:name="_Toc196746727"/>
      <w:r>
        <w:lastRenderedPageBreak/>
        <w:t>Workforce Race Equality Standard Overview</w:t>
      </w:r>
      <w:bookmarkEnd w:id="4"/>
    </w:p>
    <w:p w14:paraId="3C5A2EC4" w14:textId="3429D0A6" w:rsidR="00170098" w:rsidRDefault="008E20EC" w:rsidP="6EAAB41B">
      <w:pPr>
        <w:jc w:val="both"/>
      </w:pPr>
      <w:r w:rsidRPr="00110AA0">
        <w:t xml:space="preserve">Over </w:t>
      </w:r>
      <w:r>
        <w:t>the past 5 years,</w:t>
      </w:r>
      <w:r w:rsidR="00962FCF">
        <w:t xml:space="preserve"> we have undertaken </w:t>
      </w:r>
      <w:r>
        <w:t xml:space="preserve">a </w:t>
      </w:r>
      <w:r w:rsidR="00962FCF">
        <w:t xml:space="preserve">detailed analysis of our Workforce Race Equality Standard metrics. The chart below summarises our performance </w:t>
      </w:r>
      <w:r>
        <w:t>and provides a trend analysis from 2020 to 2025</w:t>
      </w:r>
      <w:r w:rsidR="0045263B">
        <w:t xml:space="preserve"> on all nine metrics</w:t>
      </w:r>
      <w:r>
        <w:t>.</w:t>
      </w:r>
      <w:r w:rsidR="0029252E">
        <w:t xml:space="preserve"> Appendix 1 </w:t>
      </w:r>
      <w:r w:rsidR="0001600A">
        <w:t xml:space="preserve">provides this breakdown in an accessible version. </w:t>
      </w:r>
    </w:p>
    <w:p w14:paraId="1F75D2DA" w14:textId="76A8949C" w:rsidR="006D3894" w:rsidRDefault="00621799" w:rsidP="6EAAB41B">
      <w:pPr>
        <w:jc w:val="both"/>
      </w:pPr>
      <w:r>
        <w:rPr>
          <w:noProof/>
        </w:rPr>
        <w:drawing>
          <wp:inline distT="0" distB="0" distL="0" distR="0" wp14:anchorId="310BE54A" wp14:editId="7ED726E0">
            <wp:extent cx="6264354" cy="2806810"/>
            <wp:effectExtent l="0" t="0" r="3175" b="0"/>
            <wp:docPr id="1623875819" name="Picture 1" descr="See Appendix 1 for the detail of all metrics from 2020 t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6280955" cy="2814248"/>
                    </a:xfrm>
                    <a:prstGeom prst="rect">
                      <a:avLst/>
                    </a:prstGeom>
                  </pic:spPr>
                </pic:pic>
              </a:graphicData>
            </a:graphic>
          </wp:inline>
        </w:drawing>
      </w:r>
    </w:p>
    <w:p w14:paraId="3B9AD553" w14:textId="3987C47A" w:rsidR="00170098" w:rsidRDefault="00B753CF" w:rsidP="6EAAB41B">
      <w:pPr>
        <w:jc w:val="both"/>
      </w:pPr>
      <w:r>
        <w:t xml:space="preserve">Note: </w:t>
      </w:r>
      <w:r w:rsidR="00CD3974">
        <w:t>Staff survey metrics are 1 year behind the submission year; the 2025 data shown in this table are</w:t>
      </w:r>
      <w:r>
        <w:t xml:space="preserve"> 2024 staff survey metrics.</w:t>
      </w:r>
    </w:p>
    <w:p w14:paraId="2B417FB8" w14:textId="77777777" w:rsidR="000F2043" w:rsidRDefault="000F2043" w:rsidP="6EAAB41B">
      <w:pPr>
        <w:jc w:val="both"/>
      </w:pPr>
    </w:p>
    <w:p w14:paraId="0A86E454" w14:textId="77777777" w:rsidR="000F2043" w:rsidRDefault="000F2043" w:rsidP="6EAAB41B">
      <w:pPr>
        <w:jc w:val="both"/>
      </w:pPr>
    </w:p>
    <w:p w14:paraId="460F8894" w14:textId="77777777" w:rsidR="000F2043" w:rsidRDefault="000F2043" w:rsidP="6EAAB41B">
      <w:pPr>
        <w:jc w:val="both"/>
      </w:pPr>
    </w:p>
    <w:p w14:paraId="2EBCB891" w14:textId="77777777" w:rsidR="000F2043" w:rsidRDefault="000F2043" w:rsidP="6EAAB41B">
      <w:pPr>
        <w:jc w:val="both"/>
      </w:pPr>
    </w:p>
    <w:p w14:paraId="51FA72ED" w14:textId="77777777" w:rsidR="000F2043" w:rsidRDefault="000F2043" w:rsidP="6EAAB41B">
      <w:pPr>
        <w:jc w:val="both"/>
      </w:pPr>
    </w:p>
    <w:p w14:paraId="3A6B80B4" w14:textId="77777777" w:rsidR="000F2043" w:rsidRDefault="000F2043" w:rsidP="6EAAB41B">
      <w:pPr>
        <w:jc w:val="both"/>
      </w:pPr>
    </w:p>
    <w:p w14:paraId="3BA29139" w14:textId="77777777" w:rsidR="000F2043" w:rsidRDefault="000F2043" w:rsidP="6EAAB41B">
      <w:pPr>
        <w:jc w:val="both"/>
      </w:pPr>
    </w:p>
    <w:p w14:paraId="7E2AFE61" w14:textId="77777777" w:rsidR="000F2043" w:rsidRDefault="000F2043" w:rsidP="6EAAB41B">
      <w:pPr>
        <w:jc w:val="both"/>
      </w:pPr>
    </w:p>
    <w:p w14:paraId="4E1BB364" w14:textId="77777777" w:rsidR="000F2043" w:rsidRPr="00170098" w:rsidRDefault="000F2043" w:rsidP="6EAAB41B">
      <w:pPr>
        <w:jc w:val="both"/>
      </w:pPr>
    </w:p>
    <w:p w14:paraId="00A5CD05" w14:textId="2C4D95FA" w:rsidR="006D3894" w:rsidRDefault="006D3894" w:rsidP="6EAAB41B">
      <w:pPr>
        <w:pStyle w:val="Heading1"/>
        <w:jc w:val="both"/>
      </w:pPr>
      <w:bookmarkStart w:id="5" w:name="_Toc196746728"/>
      <w:r>
        <w:lastRenderedPageBreak/>
        <w:t>Metric 1 – Overall Representation</w:t>
      </w:r>
      <w:bookmarkEnd w:id="5"/>
    </w:p>
    <w:p w14:paraId="71E982EA" w14:textId="33040CF8" w:rsidR="00B03494" w:rsidRDefault="00A81EB8" w:rsidP="6EAAB41B">
      <w:pPr>
        <w:jc w:val="both"/>
      </w:pPr>
      <w:r w:rsidRPr="00110AA0">
        <w:t>According</w:t>
      </w:r>
      <w:r>
        <w:t xml:space="preserve"> to data from the NHS Electronic Staff Record (ESR), 29% of the Trust's workforce identified as being from an ethnically diverse background as of March 2025, </w:t>
      </w:r>
      <w:r w:rsidR="00E539BD">
        <w:t>reflecting a 1.5 percentage point increase since 2024.</w:t>
      </w:r>
    </w:p>
    <w:p w14:paraId="4C9A889E" w14:textId="16C2ED1A" w:rsidR="00DD4CF8" w:rsidRDefault="00E539BD" w:rsidP="6EAAB41B">
      <w:pPr>
        <w:jc w:val="both"/>
      </w:pPr>
      <w:r>
        <w:t xml:space="preserve">Over the past five years, The Dudley Group has seen a positive trend in workforce ethnic diversity, with a steady increase in representation and a corresponding reduction in the ‘not stated’ or ‘unknown’ category. </w:t>
      </w:r>
      <w:r w:rsidR="009D33E4">
        <w:t>M</w:t>
      </w:r>
      <w:r w:rsidR="009D33E4" w:rsidRPr="00B03494">
        <w:t>ore staff are comfortable disclosing their ethnicity</w:t>
      </w:r>
      <w:r w:rsidR="009D33E4">
        <w:t xml:space="preserve">, </w:t>
      </w:r>
      <w:r w:rsidR="009D33E4" w:rsidRPr="00B03494">
        <w:t>indicating growing trust in</w:t>
      </w:r>
      <w:r w:rsidR="00DD4CF8">
        <w:t xml:space="preserve"> the organisation's inclusion efforts.</w:t>
      </w:r>
    </w:p>
    <w:p w14:paraId="7A80E817" w14:textId="4ED49665" w:rsidR="00E539BD" w:rsidRDefault="009D33E4" w:rsidP="6EAAB41B">
      <w:pPr>
        <w:jc w:val="both"/>
      </w:pPr>
      <w:r>
        <w:t xml:space="preserve"> </w:t>
      </w:r>
      <w:r w:rsidR="00E539BD">
        <w:t>The chart below illustrates this progression.</w:t>
      </w:r>
    </w:p>
    <w:p w14:paraId="56FBB7CD" w14:textId="31C53E16" w:rsidR="009B71A1" w:rsidRDefault="000D58E9" w:rsidP="6EAAB41B">
      <w:pPr>
        <w:jc w:val="both"/>
      </w:pPr>
      <w:r>
        <w:rPr>
          <w:noProof/>
        </w:rPr>
        <w:drawing>
          <wp:inline distT="0" distB="0" distL="0" distR="0" wp14:anchorId="76EB913B" wp14:editId="30726774">
            <wp:extent cx="5931686" cy="2559050"/>
            <wp:effectExtent l="0" t="0" r="0" b="0"/>
            <wp:docPr id="466189020" name="Graphic 1" descr="graph showing percentage of staff by ethnicity of white, black / ethnic minority and not stated/unknown 2020-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14">
                      <a:extLst>
                        <a:ext uri="{96DAC541-7B7A-43D3-8B79-37D633B846F1}">
                          <asvg:svgBlip xmlns:asvg="http://schemas.microsoft.com/office/drawing/2016/SVG/main" r:embed="rId15"/>
                        </a:ext>
                      </a:extLst>
                    </a:blip>
                    <a:stretch>
                      <a:fillRect/>
                    </a:stretch>
                  </pic:blipFill>
                  <pic:spPr>
                    <a:xfrm>
                      <a:off x="0" y="0"/>
                      <a:ext cx="5931686" cy="2559050"/>
                    </a:xfrm>
                    <a:prstGeom prst="rect">
                      <a:avLst/>
                    </a:prstGeom>
                  </pic:spPr>
                </pic:pic>
              </a:graphicData>
            </a:graphic>
          </wp:inline>
        </w:drawing>
      </w:r>
    </w:p>
    <w:p w14:paraId="29C0277D" w14:textId="6767F3F9" w:rsidR="004C0F55" w:rsidRPr="00B004E8" w:rsidRDefault="00E948C4" w:rsidP="6EAAB41B">
      <w:pPr>
        <w:jc w:val="both"/>
        <w:rPr>
          <w:b/>
          <w:bCs/>
          <w:i/>
          <w:iCs/>
        </w:rPr>
      </w:pPr>
      <w:r w:rsidRPr="00B004E8">
        <w:rPr>
          <w:b/>
          <w:bCs/>
          <w:i/>
          <w:iCs/>
        </w:rPr>
        <w:t>Staff from e</w:t>
      </w:r>
      <w:r w:rsidR="004C0F55" w:rsidRPr="00B004E8">
        <w:rPr>
          <w:b/>
          <w:bCs/>
          <w:i/>
          <w:iCs/>
        </w:rPr>
        <w:t xml:space="preserve">thnically diverse </w:t>
      </w:r>
      <w:r w:rsidRPr="00B004E8">
        <w:rPr>
          <w:b/>
          <w:bCs/>
          <w:i/>
          <w:iCs/>
        </w:rPr>
        <w:t>backgrounds</w:t>
      </w:r>
      <w:r w:rsidR="004C0F55" w:rsidRPr="00B004E8">
        <w:rPr>
          <w:b/>
          <w:bCs/>
          <w:i/>
          <w:iCs/>
        </w:rPr>
        <w:t xml:space="preserve"> </w:t>
      </w:r>
      <w:r w:rsidR="00B004E8" w:rsidRPr="00B004E8">
        <w:rPr>
          <w:b/>
          <w:bCs/>
          <w:i/>
          <w:iCs/>
        </w:rPr>
        <w:t xml:space="preserve">are </w:t>
      </w:r>
      <w:r w:rsidR="004C0F55" w:rsidRPr="00B004E8">
        <w:rPr>
          <w:b/>
          <w:bCs/>
          <w:i/>
          <w:iCs/>
        </w:rPr>
        <w:t xml:space="preserve">shown here as BME (Black and Minority Ethnic) </w:t>
      </w:r>
    </w:p>
    <w:p w14:paraId="729BCFA1" w14:textId="5CD7081E" w:rsidR="00284E23" w:rsidRDefault="00284E23" w:rsidP="6EAAB41B">
      <w:pPr>
        <w:jc w:val="both"/>
      </w:pPr>
      <w:r>
        <w:t xml:space="preserve">To support a more targeted analysis, representation data for Metric 1 is disaggregated by clinical and non-clinical roles. This approach enables a clearer understanding of disparities across staff groups and informs more focused action planning. </w:t>
      </w:r>
    </w:p>
    <w:p w14:paraId="556B66E7" w14:textId="2C9FFDF8" w:rsidR="00356636" w:rsidRPr="00284E23" w:rsidRDefault="00356636" w:rsidP="6EAAB41B">
      <w:pPr>
        <w:jc w:val="both"/>
      </w:pPr>
      <w:r w:rsidRPr="00356636">
        <w:t>Clinical roles involve direct patient care and require medical qualifications, while non-clinical roles support healthcare delivery through administrative, operational, and strategic functions without direct patient interaction.</w:t>
      </w:r>
    </w:p>
    <w:p w14:paraId="5E793D96" w14:textId="4ABD2D02" w:rsidR="00284E23" w:rsidRPr="00284E23" w:rsidRDefault="00284E23" w:rsidP="6EAAB41B">
      <w:pPr>
        <w:jc w:val="both"/>
      </w:pPr>
      <w:r>
        <w:t xml:space="preserve">The tables below </w:t>
      </w:r>
      <w:r w:rsidR="00B96937">
        <w:t>present</w:t>
      </w:r>
      <w:r>
        <w:t xml:space="preserve"> ethnic representation across non-clinical and clinical staff by pay band. Notably, patterns of representation in non-clinical roles differ significantly from those in clinical areas, offering valuable insight to guide tailored interventions.</w:t>
      </w:r>
    </w:p>
    <w:p w14:paraId="35A65D5C" w14:textId="30CF325D" w:rsidR="009B71A1" w:rsidRDefault="009B71A1" w:rsidP="6EAAB41B">
      <w:pPr>
        <w:pStyle w:val="Heading1"/>
        <w:jc w:val="both"/>
      </w:pPr>
      <w:bookmarkStart w:id="6" w:name="_Toc196746729"/>
      <w:r>
        <w:lastRenderedPageBreak/>
        <w:t>Metric 1 – Non-Clinical Banding Comparison 2024-2025</w:t>
      </w:r>
      <w:bookmarkEnd w:id="6"/>
    </w:p>
    <w:p w14:paraId="6532AB1A" w14:textId="3F1DD469" w:rsidR="00284E23" w:rsidRPr="00284E23" w:rsidRDefault="00284E23" w:rsidP="6EAAB41B">
      <w:pPr>
        <w:jc w:val="both"/>
      </w:pPr>
      <w:r>
        <w:t>The data highlights s</w:t>
      </w:r>
      <w:r w:rsidR="00590858">
        <w:t xml:space="preserve">ome </w:t>
      </w:r>
      <w:r>
        <w:t xml:space="preserve">disparity in the ethnic diversity of non-clinical staff across </w:t>
      </w:r>
      <w:proofErr w:type="spellStart"/>
      <w:r>
        <w:t>AfC</w:t>
      </w:r>
      <w:proofErr w:type="spellEnd"/>
      <w:r>
        <w:t xml:space="preserve"> pay bands. </w:t>
      </w:r>
      <w:r w:rsidR="000F641E" w:rsidRPr="000F641E">
        <w:t>Staff from</w:t>
      </w:r>
      <w:r w:rsidR="000F641E">
        <w:t xml:space="preserve"> an</w:t>
      </w:r>
      <w:r w:rsidR="000F641E" w:rsidRPr="000F641E">
        <w:t xml:space="preserve"> ethnically diverse background</w:t>
      </w:r>
      <w:r>
        <w:t xml:space="preserve"> </w:t>
      </w:r>
      <w:r w:rsidR="00D9762E">
        <w:t>are notably higher in the lower pay bands, particularly at Bands 1 (Apprentices), 5, and 6, but decline</w:t>
      </w:r>
      <w:r>
        <w:t xml:space="preserve"> sharply at senior levels, with VSM roles occupied entirely by </w:t>
      </w:r>
      <w:r w:rsidR="00D9762E">
        <w:t>staff from a w</w:t>
      </w:r>
      <w:r>
        <w:t>hite</w:t>
      </w:r>
      <w:r w:rsidR="00D9762E">
        <w:t xml:space="preserve"> background</w:t>
      </w:r>
      <w:r>
        <w:t xml:space="preserve">. </w:t>
      </w:r>
    </w:p>
    <w:p w14:paraId="63DAF3A3" w14:textId="07A551D1" w:rsidR="00284E23" w:rsidRPr="00284E23" w:rsidRDefault="00284E23" w:rsidP="6EAAB41B">
      <w:pPr>
        <w:jc w:val="both"/>
      </w:pPr>
      <w:r>
        <w:t xml:space="preserve">While 'Not Stated/Unknown' responses are minimal, the clear trend suggests a progression gap that limits </w:t>
      </w:r>
      <w:r w:rsidR="00D9762E">
        <w:t>s</w:t>
      </w:r>
      <w:r w:rsidR="00D9762E" w:rsidRPr="00D9762E">
        <w:t>taff from ethnically diverse backgrounds</w:t>
      </w:r>
      <w:r>
        <w:t xml:space="preserve"> from advancing into higher-banded and leadership roles. This underlines the need for targeted action to improve equity in career development and leadership pathways, </w:t>
      </w:r>
      <w:r w:rsidR="003855B5">
        <w:t>ensure that promotion processes are inclusive, and effectively support and retain diverse talent</w:t>
      </w:r>
      <w:r>
        <w:t xml:space="preserve"> at all levels.</w:t>
      </w:r>
    </w:p>
    <w:p w14:paraId="3C3C2884" w14:textId="77777777" w:rsidR="00284E23" w:rsidRPr="00284E23" w:rsidRDefault="00284E23" w:rsidP="6EAAB41B">
      <w:pPr>
        <w:jc w:val="both"/>
      </w:pPr>
    </w:p>
    <w:p w14:paraId="65DC350D" w14:textId="0EB63FCD" w:rsidR="009B71A1" w:rsidRDefault="000D58E9" w:rsidP="6EAAB41B">
      <w:pPr>
        <w:jc w:val="both"/>
      </w:pPr>
      <w:r>
        <w:rPr>
          <w:noProof/>
        </w:rPr>
        <w:drawing>
          <wp:inline distT="0" distB="0" distL="0" distR="0" wp14:anchorId="00BA4DAE" wp14:editId="64413A2B">
            <wp:extent cx="5460998" cy="3752396"/>
            <wp:effectExtent l="0" t="0" r="6350" b="635"/>
            <wp:docPr id="208180128" name="Graphic 1" descr="graph showing representation of non-clinical staff by pay b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16">
                      <a:extLst>
                        <a:ext uri="{96DAC541-7B7A-43D3-8B79-37D633B846F1}">
                          <asvg:svgBlip xmlns:asvg="http://schemas.microsoft.com/office/drawing/2016/SVG/main" r:embed="rId17"/>
                        </a:ext>
                      </a:extLst>
                    </a:blip>
                    <a:stretch>
                      <a:fillRect/>
                    </a:stretch>
                  </pic:blipFill>
                  <pic:spPr>
                    <a:xfrm>
                      <a:off x="0" y="0"/>
                      <a:ext cx="5460998" cy="3752396"/>
                    </a:xfrm>
                    <a:prstGeom prst="rect">
                      <a:avLst/>
                    </a:prstGeom>
                  </pic:spPr>
                </pic:pic>
              </a:graphicData>
            </a:graphic>
          </wp:inline>
        </w:drawing>
      </w:r>
    </w:p>
    <w:p w14:paraId="62147364" w14:textId="36C9C242" w:rsidR="00284E23" w:rsidRDefault="003855B5" w:rsidP="6EAAB41B">
      <w:pPr>
        <w:jc w:val="both"/>
        <w:rPr>
          <w:b/>
          <w:bCs/>
          <w:i/>
          <w:iCs/>
        </w:rPr>
      </w:pPr>
      <w:r w:rsidRPr="003855B5">
        <w:rPr>
          <w:b/>
          <w:bCs/>
          <w:i/>
          <w:iCs/>
        </w:rPr>
        <w:t>Staff from ethnically diverse backgrounds</w:t>
      </w:r>
      <w:r w:rsidR="00284E23" w:rsidRPr="003855B5">
        <w:rPr>
          <w:b/>
          <w:bCs/>
          <w:i/>
          <w:iCs/>
        </w:rPr>
        <w:t xml:space="preserve"> shown here as BME (Black and Minority Ethnic) </w:t>
      </w:r>
    </w:p>
    <w:p w14:paraId="3339CA47" w14:textId="3D638F57" w:rsidR="004577DC" w:rsidRPr="004577DC" w:rsidRDefault="004577DC" w:rsidP="6EAAB41B">
      <w:pPr>
        <w:jc w:val="both"/>
      </w:pPr>
      <w:r w:rsidRPr="004577DC">
        <w:t>There is a major gap in senior leadership representation, underscoring the need for focused succession planning and accountability at the top.</w:t>
      </w:r>
    </w:p>
    <w:p w14:paraId="2FD02BA8" w14:textId="4E77EF45" w:rsidR="009B71A1" w:rsidRDefault="009B71A1" w:rsidP="6EAAB41B">
      <w:pPr>
        <w:pStyle w:val="Heading1"/>
        <w:jc w:val="both"/>
      </w:pPr>
      <w:bookmarkStart w:id="7" w:name="_Toc196746730"/>
      <w:r>
        <w:lastRenderedPageBreak/>
        <w:t>Metric 1 – Clinical Banding Comparison 2024 -2025</w:t>
      </w:r>
      <w:bookmarkEnd w:id="7"/>
    </w:p>
    <w:p w14:paraId="63CD3724" w14:textId="2BA90FF4" w:rsidR="00284E23" w:rsidRDefault="00284E23" w:rsidP="6EAAB41B">
      <w:pPr>
        <w:jc w:val="both"/>
      </w:pPr>
      <w:r>
        <w:t xml:space="preserve">The data </w:t>
      </w:r>
      <w:r w:rsidR="008D1BA5">
        <w:t xml:space="preserve">show that while ethnically diverse staff are strongly represented </w:t>
      </w:r>
      <w:r w:rsidR="00EC4475">
        <w:t xml:space="preserve">among clinical staff </w:t>
      </w:r>
      <w:r>
        <w:t>across Bands 5 to 8a, with</w:t>
      </w:r>
      <w:r w:rsidR="00FF178D">
        <w:t xml:space="preserve"> s</w:t>
      </w:r>
      <w:r w:rsidR="00FF178D" w:rsidRPr="00FF178D">
        <w:t>taff from ethnically diverse backgrounds</w:t>
      </w:r>
      <w:r>
        <w:t xml:space="preserve"> making up as much as 44% at Band 5, this diversity is not reflected at the most senior levels. Bands 8c, 8d, 9, and VSM roles are still predominantly held by </w:t>
      </w:r>
      <w:r w:rsidR="00FF178D">
        <w:t>staff from a w</w:t>
      </w:r>
      <w:r>
        <w:t xml:space="preserve">hite </w:t>
      </w:r>
      <w:r w:rsidR="00FF178D">
        <w:t>background</w:t>
      </w:r>
      <w:r>
        <w:t xml:space="preserve">, with VSM and Band 8d </w:t>
      </w:r>
      <w:r w:rsidR="008D1BA5">
        <w:t xml:space="preserve">comprising 100% </w:t>
      </w:r>
      <w:r w:rsidR="00B832F0">
        <w:t>staff who are white</w:t>
      </w:r>
      <w:r>
        <w:t xml:space="preserve">. </w:t>
      </w:r>
    </w:p>
    <w:p w14:paraId="5C22EB75" w14:textId="21A44386" w:rsidR="00284E23" w:rsidRPr="00284E23" w:rsidRDefault="00284E23" w:rsidP="6EAAB41B">
      <w:pPr>
        <w:jc w:val="both"/>
      </w:pPr>
      <w:r>
        <w:t>This indicates a significant progression gap, where</w:t>
      </w:r>
      <w:r w:rsidR="008D1BA5">
        <w:t>,</w:t>
      </w:r>
      <w:r>
        <w:t xml:space="preserve"> despite a diverse clinical workforce at operational levels, </w:t>
      </w:r>
      <w:r w:rsidR="00525A4A">
        <w:t>s</w:t>
      </w:r>
      <w:r w:rsidR="00525A4A" w:rsidRPr="00525A4A">
        <w:t>taff from ethnically diverse backgrounds</w:t>
      </w:r>
      <w:r w:rsidR="00525A4A">
        <w:t xml:space="preserve"> </w:t>
      </w:r>
      <w:r>
        <w:t xml:space="preserve">are not advancing proportionately into leadership positions. To address this, there is a clear need to strengthen inclusive career development, succession planning, and leadership support for </w:t>
      </w:r>
      <w:r w:rsidR="00525A4A">
        <w:t xml:space="preserve">clinical staff who are </w:t>
      </w:r>
      <w:r>
        <w:t xml:space="preserve">ethnically </w:t>
      </w:r>
      <w:proofErr w:type="gramStart"/>
      <w:r>
        <w:t>diverse ,</w:t>
      </w:r>
      <w:proofErr w:type="gramEnd"/>
      <w:r>
        <w:t xml:space="preserve"> ensuring that progression opportunities are equitable and fully accessible.</w:t>
      </w:r>
    </w:p>
    <w:p w14:paraId="5DACDDB1" w14:textId="014AE87C" w:rsidR="009B71A1" w:rsidRDefault="000D58E9" w:rsidP="6EAAB41B">
      <w:pPr>
        <w:jc w:val="both"/>
      </w:pPr>
      <w:r>
        <w:rPr>
          <w:noProof/>
        </w:rPr>
        <w:drawing>
          <wp:inline distT="0" distB="0" distL="0" distR="0" wp14:anchorId="31C57B2B" wp14:editId="16E23569">
            <wp:extent cx="5460998" cy="3829234"/>
            <wp:effectExtent l="0" t="0" r="6350" b="0"/>
            <wp:docPr id="1890295693" name="Graphic 1" descr="graph showing representation of clinical staff by pay b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18">
                      <a:extLst>
                        <a:ext uri="{96DAC541-7B7A-43D3-8B79-37D633B846F1}">
                          <asvg:svgBlip xmlns:asvg="http://schemas.microsoft.com/office/drawing/2016/SVG/main" r:embed="rId19"/>
                        </a:ext>
                      </a:extLst>
                    </a:blip>
                    <a:stretch>
                      <a:fillRect/>
                    </a:stretch>
                  </pic:blipFill>
                  <pic:spPr>
                    <a:xfrm>
                      <a:off x="0" y="0"/>
                      <a:ext cx="5460998" cy="3829234"/>
                    </a:xfrm>
                    <a:prstGeom prst="rect">
                      <a:avLst/>
                    </a:prstGeom>
                  </pic:spPr>
                </pic:pic>
              </a:graphicData>
            </a:graphic>
          </wp:inline>
        </w:drawing>
      </w:r>
    </w:p>
    <w:p w14:paraId="5505CFA9" w14:textId="336B8520" w:rsidR="004C0F55" w:rsidRDefault="00DB4A77" w:rsidP="6EAAB41B">
      <w:pPr>
        <w:jc w:val="both"/>
        <w:rPr>
          <w:b/>
          <w:bCs/>
          <w:i/>
          <w:iCs/>
        </w:rPr>
      </w:pPr>
      <w:r w:rsidRPr="00DB4A77">
        <w:rPr>
          <w:b/>
          <w:bCs/>
          <w:i/>
          <w:iCs/>
        </w:rPr>
        <w:t>Staff from e</w:t>
      </w:r>
      <w:r w:rsidR="004C0F55" w:rsidRPr="00DB4A77">
        <w:rPr>
          <w:b/>
          <w:bCs/>
          <w:i/>
          <w:iCs/>
        </w:rPr>
        <w:t xml:space="preserve">thnically diverse </w:t>
      </w:r>
      <w:r w:rsidRPr="00DB4A77">
        <w:rPr>
          <w:b/>
          <w:bCs/>
          <w:i/>
          <w:iCs/>
        </w:rPr>
        <w:t>backgrounds</w:t>
      </w:r>
      <w:r w:rsidR="004C0F55" w:rsidRPr="00DB4A77">
        <w:rPr>
          <w:b/>
          <w:bCs/>
          <w:i/>
          <w:iCs/>
        </w:rPr>
        <w:t xml:space="preserve"> shown here as BME (Black and Minority Ethnic) </w:t>
      </w:r>
    </w:p>
    <w:p w14:paraId="50B83BD6" w14:textId="046D919F" w:rsidR="00805AC7" w:rsidRPr="00757062" w:rsidRDefault="0077612C" w:rsidP="6EAAB41B">
      <w:pPr>
        <w:jc w:val="both"/>
      </w:pPr>
      <w:r w:rsidRPr="0077612C">
        <w:t>There is a major gap in senior leadership representation, underscoring the need for focused succession planning and accountability at the top.</w:t>
      </w:r>
    </w:p>
    <w:p w14:paraId="03A02D1D" w14:textId="37EFF34D" w:rsidR="004C0F55" w:rsidRDefault="00036217" w:rsidP="6EAAB41B">
      <w:pPr>
        <w:pStyle w:val="Heading1"/>
        <w:jc w:val="both"/>
      </w:pPr>
      <w:bookmarkStart w:id="8" w:name="_Toc196746731"/>
      <w:r>
        <w:lastRenderedPageBreak/>
        <w:t xml:space="preserve">Metric 2 – Relative likelihood of white applicants </w:t>
      </w:r>
      <w:r w:rsidR="00590858">
        <w:t>being appointed</w:t>
      </w:r>
      <w:r>
        <w:t xml:space="preserve"> from shortlisting across all posts compared to ethnically diverse applicants</w:t>
      </w:r>
      <w:bookmarkEnd w:id="8"/>
      <w:r>
        <w:t xml:space="preserve"> </w:t>
      </w:r>
    </w:p>
    <w:p w14:paraId="36BC4C5E" w14:textId="76DC2249" w:rsidR="00835F80" w:rsidRDefault="009F758E" w:rsidP="6EAAB41B">
      <w:pPr>
        <w:jc w:val="both"/>
      </w:pPr>
      <w:r>
        <w:t>A relative likelihood score of 1 indicates parity between groups. In 2025, the relative likelihood of applicants from ethnically diverse backgrounds being appointed from shortlisting was 1.55, an increase from 1.41 in 2024, indicating a widening disparity. Appointment rates were 12% for ethnically diverse applicants compared to 19% for white applicants.</w:t>
      </w:r>
      <w:r w:rsidR="0058052E">
        <w:t xml:space="preserve"> In percentage terms</w:t>
      </w:r>
      <w:r w:rsidR="00CE6AC7">
        <w:t>,</w:t>
      </w:r>
      <w:r w:rsidR="0058052E">
        <w:t xml:space="preserve"> white </w:t>
      </w:r>
      <w:r w:rsidR="00034399">
        <w:t>applicants</w:t>
      </w:r>
      <w:r w:rsidR="0058052E">
        <w:t xml:space="preserve"> are 55%</w:t>
      </w:r>
      <w:r w:rsidR="00034399">
        <w:t xml:space="preserve"> more likely to be appointed </w:t>
      </w:r>
      <w:r w:rsidR="00CE6AC7">
        <w:t>than</w:t>
      </w:r>
      <w:r w:rsidR="00034399">
        <w:t xml:space="preserve"> staff </w:t>
      </w:r>
      <w:r w:rsidR="00034399" w:rsidRPr="00034399">
        <w:t>from ethnically diverse backgrounds</w:t>
      </w:r>
      <w:r w:rsidR="00034399">
        <w:t xml:space="preserve">. </w:t>
      </w:r>
    </w:p>
    <w:tbl>
      <w:tblPr>
        <w:tblStyle w:val="TableGrid"/>
        <w:tblW w:w="0" w:type="auto"/>
        <w:tblLook w:val="04A0" w:firstRow="1" w:lastRow="0" w:firstColumn="1" w:lastColumn="0" w:noHBand="0" w:noVBand="1"/>
      </w:tblPr>
      <w:tblGrid>
        <w:gridCol w:w="4371"/>
        <w:gridCol w:w="1137"/>
        <w:gridCol w:w="1137"/>
        <w:gridCol w:w="1234"/>
        <w:gridCol w:w="1137"/>
      </w:tblGrid>
      <w:tr w:rsidR="00835F80" w:rsidRPr="00835F80" w14:paraId="58FB06FC" w14:textId="77777777" w:rsidTr="6EAAB41B">
        <w:trPr>
          <w:trHeight w:val="315"/>
        </w:trPr>
        <w:tc>
          <w:tcPr>
            <w:tcW w:w="4424" w:type="dxa"/>
            <w:noWrap/>
            <w:hideMark/>
          </w:tcPr>
          <w:p w14:paraId="422C4007" w14:textId="77777777" w:rsidR="00835F80" w:rsidRPr="00835F80" w:rsidRDefault="00835F80" w:rsidP="6EAAB41B">
            <w:pPr>
              <w:jc w:val="both"/>
              <w:rPr>
                <w:b/>
                <w:bCs/>
              </w:rPr>
            </w:pPr>
            <w:r w:rsidRPr="6EAAB41B">
              <w:rPr>
                <w:b/>
                <w:bCs/>
              </w:rPr>
              <w:t>Values</w:t>
            </w:r>
          </w:p>
        </w:tc>
        <w:tc>
          <w:tcPr>
            <w:tcW w:w="1148" w:type="dxa"/>
            <w:noWrap/>
            <w:hideMark/>
          </w:tcPr>
          <w:p w14:paraId="36A12F60" w14:textId="77777777" w:rsidR="00835F80" w:rsidRPr="00835F80" w:rsidRDefault="00835F80" w:rsidP="6EAAB41B">
            <w:pPr>
              <w:jc w:val="both"/>
              <w:rPr>
                <w:b/>
                <w:bCs/>
              </w:rPr>
            </w:pPr>
            <w:r w:rsidRPr="6EAAB41B">
              <w:rPr>
                <w:b/>
                <w:bCs/>
              </w:rPr>
              <w:t>White</w:t>
            </w:r>
          </w:p>
        </w:tc>
        <w:tc>
          <w:tcPr>
            <w:tcW w:w="1148" w:type="dxa"/>
            <w:noWrap/>
            <w:hideMark/>
          </w:tcPr>
          <w:p w14:paraId="60A33FC1" w14:textId="77777777" w:rsidR="00835F80" w:rsidRPr="00835F80" w:rsidRDefault="00835F80" w:rsidP="6EAAB41B">
            <w:pPr>
              <w:jc w:val="both"/>
              <w:rPr>
                <w:b/>
                <w:bCs/>
              </w:rPr>
            </w:pPr>
            <w:r w:rsidRPr="6EAAB41B">
              <w:rPr>
                <w:b/>
                <w:bCs/>
              </w:rPr>
              <w:t>BME</w:t>
            </w:r>
          </w:p>
        </w:tc>
        <w:tc>
          <w:tcPr>
            <w:tcW w:w="1148" w:type="dxa"/>
            <w:noWrap/>
            <w:hideMark/>
          </w:tcPr>
          <w:p w14:paraId="71D1ACB2" w14:textId="77777777" w:rsidR="00835F80" w:rsidRPr="00835F80" w:rsidRDefault="00835F80" w:rsidP="6EAAB41B">
            <w:pPr>
              <w:jc w:val="both"/>
              <w:rPr>
                <w:b/>
                <w:bCs/>
              </w:rPr>
            </w:pPr>
            <w:r w:rsidRPr="6EAAB41B">
              <w:rPr>
                <w:b/>
                <w:bCs/>
              </w:rPr>
              <w:t>Unknown</w:t>
            </w:r>
          </w:p>
        </w:tc>
        <w:tc>
          <w:tcPr>
            <w:tcW w:w="1148" w:type="dxa"/>
            <w:noWrap/>
            <w:hideMark/>
          </w:tcPr>
          <w:p w14:paraId="13DB23D9" w14:textId="77777777" w:rsidR="00835F80" w:rsidRPr="00835F80" w:rsidRDefault="00835F80" w:rsidP="6EAAB41B">
            <w:pPr>
              <w:jc w:val="both"/>
              <w:rPr>
                <w:b/>
                <w:bCs/>
              </w:rPr>
            </w:pPr>
            <w:r w:rsidRPr="6EAAB41B">
              <w:rPr>
                <w:b/>
                <w:bCs/>
              </w:rPr>
              <w:t>Grand Total</w:t>
            </w:r>
          </w:p>
        </w:tc>
      </w:tr>
      <w:tr w:rsidR="00835F80" w:rsidRPr="00835F80" w14:paraId="746CC7C4" w14:textId="77777777" w:rsidTr="6EAAB41B">
        <w:trPr>
          <w:trHeight w:val="315"/>
        </w:trPr>
        <w:tc>
          <w:tcPr>
            <w:tcW w:w="4424" w:type="dxa"/>
            <w:hideMark/>
          </w:tcPr>
          <w:p w14:paraId="3147D281" w14:textId="77777777" w:rsidR="00835F80" w:rsidRPr="00835F80" w:rsidRDefault="00835F80" w:rsidP="6EAAB41B">
            <w:pPr>
              <w:jc w:val="both"/>
            </w:pPr>
            <w:r>
              <w:t>Number of Shortlisted Applicants</w:t>
            </w:r>
          </w:p>
        </w:tc>
        <w:tc>
          <w:tcPr>
            <w:tcW w:w="1148" w:type="dxa"/>
            <w:noWrap/>
            <w:hideMark/>
          </w:tcPr>
          <w:p w14:paraId="2B637A5A" w14:textId="77777777" w:rsidR="00835F80" w:rsidRPr="00835F80" w:rsidRDefault="00835F80" w:rsidP="6EAAB41B">
            <w:pPr>
              <w:jc w:val="both"/>
            </w:pPr>
            <w:r>
              <w:t>2278</w:t>
            </w:r>
          </w:p>
        </w:tc>
        <w:tc>
          <w:tcPr>
            <w:tcW w:w="1148" w:type="dxa"/>
            <w:noWrap/>
            <w:hideMark/>
          </w:tcPr>
          <w:p w14:paraId="2259A038" w14:textId="77777777" w:rsidR="00835F80" w:rsidRPr="00835F80" w:rsidRDefault="00835F80" w:rsidP="6EAAB41B">
            <w:pPr>
              <w:jc w:val="both"/>
            </w:pPr>
            <w:r>
              <w:t>2401</w:t>
            </w:r>
          </w:p>
        </w:tc>
        <w:tc>
          <w:tcPr>
            <w:tcW w:w="1148" w:type="dxa"/>
            <w:noWrap/>
            <w:hideMark/>
          </w:tcPr>
          <w:p w14:paraId="63644FCB" w14:textId="77777777" w:rsidR="00835F80" w:rsidRPr="00835F80" w:rsidRDefault="00835F80" w:rsidP="6EAAB41B">
            <w:pPr>
              <w:jc w:val="both"/>
            </w:pPr>
            <w:r>
              <w:t>113</w:t>
            </w:r>
          </w:p>
        </w:tc>
        <w:tc>
          <w:tcPr>
            <w:tcW w:w="1148" w:type="dxa"/>
            <w:noWrap/>
            <w:hideMark/>
          </w:tcPr>
          <w:p w14:paraId="1A561B94" w14:textId="77777777" w:rsidR="00835F80" w:rsidRPr="00835F80" w:rsidRDefault="00835F80" w:rsidP="6EAAB41B">
            <w:pPr>
              <w:jc w:val="both"/>
            </w:pPr>
            <w:r>
              <w:t>4792</w:t>
            </w:r>
          </w:p>
        </w:tc>
      </w:tr>
      <w:tr w:rsidR="00835F80" w:rsidRPr="00835F80" w14:paraId="25D92296" w14:textId="77777777" w:rsidTr="6EAAB41B">
        <w:trPr>
          <w:trHeight w:val="315"/>
        </w:trPr>
        <w:tc>
          <w:tcPr>
            <w:tcW w:w="4424" w:type="dxa"/>
            <w:hideMark/>
          </w:tcPr>
          <w:p w14:paraId="0C38A397" w14:textId="77777777" w:rsidR="00835F80" w:rsidRPr="00835F80" w:rsidRDefault="00835F80" w:rsidP="6EAAB41B">
            <w:pPr>
              <w:jc w:val="both"/>
            </w:pPr>
            <w:r>
              <w:t xml:space="preserve">Number Appointed from Shortlisting </w:t>
            </w:r>
          </w:p>
        </w:tc>
        <w:tc>
          <w:tcPr>
            <w:tcW w:w="1148" w:type="dxa"/>
            <w:noWrap/>
            <w:hideMark/>
          </w:tcPr>
          <w:p w14:paraId="73E89538" w14:textId="77777777" w:rsidR="00835F80" w:rsidRPr="00835F80" w:rsidRDefault="00835F80" w:rsidP="6EAAB41B">
            <w:pPr>
              <w:jc w:val="both"/>
            </w:pPr>
            <w:r>
              <w:t>433</w:t>
            </w:r>
          </w:p>
        </w:tc>
        <w:tc>
          <w:tcPr>
            <w:tcW w:w="1148" w:type="dxa"/>
            <w:noWrap/>
            <w:hideMark/>
          </w:tcPr>
          <w:p w14:paraId="3CB17C7B" w14:textId="77777777" w:rsidR="00835F80" w:rsidRPr="00835F80" w:rsidRDefault="00835F80" w:rsidP="6EAAB41B">
            <w:pPr>
              <w:jc w:val="both"/>
            </w:pPr>
            <w:r>
              <w:t>294</w:t>
            </w:r>
          </w:p>
        </w:tc>
        <w:tc>
          <w:tcPr>
            <w:tcW w:w="1148" w:type="dxa"/>
            <w:noWrap/>
            <w:hideMark/>
          </w:tcPr>
          <w:p w14:paraId="00014D55" w14:textId="77777777" w:rsidR="00835F80" w:rsidRPr="00835F80" w:rsidRDefault="00835F80" w:rsidP="6EAAB41B">
            <w:pPr>
              <w:jc w:val="both"/>
            </w:pPr>
            <w:r>
              <w:t>19</w:t>
            </w:r>
          </w:p>
        </w:tc>
        <w:tc>
          <w:tcPr>
            <w:tcW w:w="1148" w:type="dxa"/>
            <w:noWrap/>
            <w:hideMark/>
          </w:tcPr>
          <w:p w14:paraId="4D0076C4" w14:textId="77777777" w:rsidR="00835F80" w:rsidRPr="00835F80" w:rsidRDefault="00835F80" w:rsidP="6EAAB41B">
            <w:pPr>
              <w:jc w:val="both"/>
            </w:pPr>
            <w:r>
              <w:t>746</w:t>
            </w:r>
          </w:p>
        </w:tc>
      </w:tr>
      <w:tr w:rsidR="00835F80" w:rsidRPr="00835F80" w14:paraId="59D829CC" w14:textId="77777777" w:rsidTr="6EAAB41B">
        <w:trPr>
          <w:trHeight w:val="330"/>
        </w:trPr>
        <w:tc>
          <w:tcPr>
            <w:tcW w:w="4424" w:type="dxa"/>
            <w:hideMark/>
          </w:tcPr>
          <w:p w14:paraId="16108C9E" w14:textId="77777777" w:rsidR="00835F80" w:rsidRPr="00835F80" w:rsidRDefault="00835F80" w:rsidP="6EAAB41B">
            <w:pPr>
              <w:jc w:val="both"/>
              <w:rPr>
                <w:b/>
                <w:bCs/>
              </w:rPr>
            </w:pPr>
            <w:r w:rsidRPr="6EAAB41B">
              <w:rPr>
                <w:b/>
                <w:bCs/>
              </w:rPr>
              <w:t xml:space="preserve">Relative Likelihood of appointment from shortlisting </w:t>
            </w:r>
          </w:p>
        </w:tc>
        <w:tc>
          <w:tcPr>
            <w:tcW w:w="1148" w:type="dxa"/>
            <w:noWrap/>
            <w:hideMark/>
          </w:tcPr>
          <w:p w14:paraId="13EF3EC0" w14:textId="77777777" w:rsidR="00835F80" w:rsidRPr="00835F80" w:rsidRDefault="00835F80" w:rsidP="6EAAB41B">
            <w:pPr>
              <w:jc w:val="both"/>
              <w:rPr>
                <w:b/>
                <w:bCs/>
              </w:rPr>
            </w:pPr>
            <w:r w:rsidRPr="6EAAB41B">
              <w:rPr>
                <w:b/>
                <w:bCs/>
              </w:rPr>
              <w:t>19%</w:t>
            </w:r>
          </w:p>
        </w:tc>
        <w:tc>
          <w:tcPr>
            <w:tcW w:w="1148" w:type="dxa"/>
            <w:noWrap/>
            <w:hideMark/>
          </w:tcPr>
          <w:p w14:paraId="5C470BD0" w14:textId="77777777" w:rsidR="00835F80" w:rsidRPr="00835F80" w:rsidRDefault="00835F80" w:rsidP="6EAAB41B">
            <w:pPr>
              <w:jc w:val="both"/>
              <w:rPr>
                <w:b/>
                <w:bCs/>
              </w:rPr>
            </w:pPr>
            <w:r w:rsidRPr="6EAAB41B">
              <w:rPr>
                <w:b/>
                <w:bCs/>
              </w:rPr>
              <w:t>12%</w:t>
            </w:r>
          </w:p>
        </w:tc>
        <w:tc>
          <w:tcPr>
            <w:tcW w:w="1148" w:type="dxa"/>
            <w:noWrap/>
            <w:hideMark/>
          </w:tcPr>
          <w:p w14:paraId="2C9D1004" w14:textId="77777777" w:rsidR="00835F80" w:rsidRPr="00835F80" w:rsidRDefault="00835F80" w:rsidP="6EAAB41B">
            <w:pPr>
              <w:jc w:val="both"/>
              <w:rPr>
                <w:b/>
                <w:bCs/>
              </w:rPr>
            </w:pPr>
            <w:r w:rsidRPr="6EAAB41B">
              <w:rPr>
                <w:b/>
                <w:bCs/>
              </w:rPr>
              <w:t>17%</w:t>
            </w:r>
          </w:p>
        </w:tc>
        <w:tc>
          <w:tcPr>
            <w:tcW w:w="1148" w:type="dxa"/>
            <w:noWrap/>
            <w:hideMark/>
          </w:tcPr>
          <w:p w14:paraId="207C410C" w14:textId="77777777" w:rsidR="00835F80" w:rsidRPr="00835F80" w:rsidRDefault="00835F80" w:rsidP="6EAAB41B">
            <w:pPr>
              <w:jc w:val="both"/>
              <w:rPr>
                <w:b/>
                <w:bCs/>
              </w:rPr>
            </w:pPr>
            <w:r w:rsidRPr="6EAAB41B">
              <w:rPr>
                <w:b/>
                <w:bCs/>
              </w:rPr>
              <w:t>16%</w:t>
            </w:r>
          </w:p>
        </w:tc>
      </w:tr>
      <w:tr w:rsidR="00835F80" w:rsidRPr="00835F80" w14:paraId="74E12EDB" w14:textId="77777777" w:rsidTr="6EAAB41B">
        <w:trPr>
          <w:trHeight w:val="960"/>
        </w:trPr>
        <w:tc>
          <w:tcPr>
            <w:tcW w:w="4424" w:type="dxa"/>
            <w:hideMark/>
          </w:tcPr>
          <w:p w14:paraId="54C8590A" w14:textId="574672B6" w:rsidR="00835F80" w:rsidRPr="00835F80" w:rsidRDefault="00835F80" w:rsidP="6EAAB41B">
            <w:pPr>
              <w:jc w:val="both"/>
              <w:rPr>
                <w:b/>
                <w:bCs/>
              </w:rPr>
            </w:pPr>
            <w:r w:rsidRPr="6EAAB41B">
              <w:rPr>
                <w:b/>
                <w:bCs/>
              </w:rPr>
              <w:t>Relative likelihood of white applicants being appointed from shortlisting across all posts compared to BME applicants</w:t>
            </w:r>
          </w:p>
        </w:tc>
        <w:tc>
          <w:tcPr>
            <w:tcW w:w="4592" w:type="dxa"/>
            <w:gridSpan w:val="4"/>
            <w:hideMark/>
          </w:tcPr>
          <w:p w14:paraId="250CBDFC" w14:textId="77777777" w:rsidR="00835F80" w:rsidRPr="00835F80" w:rsidRDefault="00835F80" w:rsidP="6EAAB41B">
            <w:pPr>
              <w:jc w:val="both"/>
              <w:rPr>
                <w:b/>
                <w:bCs/>
              </w:rPr>
            </w:pPr>
            <w:r w:rsidRPr="6EAAB41B">
              <w:rPr>
                <w:b/>
                <w:bCs/>
              </w:rPr>
              <w:t>1.55</w:t>
            </w:r>
          </w:p>
        </w:tc>
      </w:tr>
    </w:tbl>
    <w:p w14:paraId="4083DD46" w14:textId="3AF4A364" w:rsidR="004C0F55" w:rsidRPr="00DB4A77" w:rsidRDefault="00DB4A77" w:rsidP="6EAAB41B">
      <w:pPr>
        <w:jc w:val="both"/>
        <w:rPr>
          <w:b/>
          <w:bCs/>
          <w:i/>
          <w:iCs/>
        </w:rPr>
      </w:pPr>
      <w:r w:rsidRPr="00DB4A77">
        <w:rPr>
          <w:b/>
          <w:bCs/>
          <w:i/>
          <w:iCs/>
        </w:rPr>
        <w:t xml:space="preserve">Staff from </w:t>
      </w:r>
      <w:r w:rsidR="004C0F55" w:rsidRPr="00DB4A77">
        <w:rPr>
          <w:b/>
          <w:bCs/>
          <w:i/>
          <w:iCs/>
        </w:rPr>
        <w:t xml:space="preserve">ethnically diverse </w:t>
      </w:r>
      <w:r w:rsidRPr="00DB4A77">
        <w:rPr>
          <w:b/>
          <w:bCs/>
          <w:i/>
          <w:iCs/>
        </w:rPr>
        <w:t>backgrounds</w:t>
      </w:r>
      <w:r w:rsidR="004C0F55" w:rsidRPr="00DB4A77">
        <w:rPr>
          <w:b/>
          <w:bCs/>
          <w:i/>
          <w:iCs/>
        </w:rPr>
        <w:t xml:space="preserve"> shown here as BME (Black and Minority Ethnic) </w:t>
      </w:r>
    </w:p>
    <w:p w14:paraId="038D689D" w14:textId="39749BCA" w:rsidR="00036217" w:rsidRDefault="006912A2" w:rsidP="6EAAB41B">
      <w:pPr>
        <w:jc w:val="both"/>
      </w:pPr>
      <w:r>
        <w:rPr>
          <w:noProof/>
        </w:rPr>
        <w:drawing>
          <wp:inline distT="0" distB="0" distL="0" distR="0" wp14:anchorId="498973EB" wp14:editId="0E7D22E4">
            <wp:extent cx="5731510" cy="2613660"/>
            <wp:effectExtent l="0" t="0" r="2540" b="0"/>
            <wp:docPr id="14546520" name="Graphic 1" descr="graph showing the relative likelihood of white applicants being appointed from shortlisting across all posts compared to black or minority ethnic applicants from 2020 to 2025, and the national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20">
                      <a:extLst>
                        <a:ext uri="{96DAC541-7B7A-43D3-8B79-37D633B846F1}">
                          <asvg:svgBlip xmlns:asvg="http://schemas.microsoft.com/office/drawing/2016/SVG/main" r:embed="rId21"/>
                        </a:ext>
                      </a:extLst>
                    </a:blip>
                    <a:stretch>
                      <a:fillRect/>
                    </a:stretch>
                  </pic:blipFill>
                  <pic:spPr>
                    <a:xfrm>
                      <a:off x="0" y="0"/>
                      <a:ext cx="5731510" cy="2613660"/>
                    </a:xfrm>
                    <a:prstGeom prst="rect">
                      <a:avLst/>
                    </a:prstGeom>
                  </pic:spPr>
                </pic:pic>
              </a:graphicData>
            </a:graphic>
          </wp:inline>
        </w:drawing>
      </w:r>
    </w:p>
    <w:p w14:paraId="298A3E22" w14:textId="2555529D" w:rsidR="00C4209A" w:rsidRDefault="00C4209A" w:rsidP="6EAAB41B">
      <w:pPr>
        <w:jc w:val="both"/>
      </w:pPr>
      <w:r w:rsidRPr="00C4209A">
        <w:t>The</w:t>
      </w:r>
      <w:r>
        <w:t xml:space="preserve"> data demonstrates</w:t>
      </w:r>
      <w:r w:rsidRPr="00C4209A">
        <w:t xml:space="preserve"> disparity in recruitment outcomes, highlighting a need to strengthen inclusive hiring practices and reduce bias.</w:t>
      </w:r>
    </w:p>
    <w:p w14:paraId="58CA8F26" w14:textId="1318C070" w:rsidR="00036217" w:rsidRDefault="00036217" w:rsidP="6EAAB41B">
      <w:pPr>
        <w:pStyle w:val="Heading1"/>
        <w:jc w:val="both"/>
      </w:pPr>
      <w:bookmarkStart w:id="9" w:name="_Toc196746732"/>
      <w:r>
        <w:lastRenderedPageBreak/>
        <w:t>Metric 3 - The relative likelihood of ethnically diverse staff entering the formal disciplinary process compared to white staff</w:t>
      </w:r>
      <w:bookmarkEnd w:id="9"/>
    </w:p>
    <w:p w14:paraId="19AEF97F" w14:textId="77777777" w:rsidR="00515C94" w:rsidRPr="00515C94" w:rsidRDefault="00515C94" w:rsidP="00515C94"/>
    <w:p w14:paraId="58004920" w14:textId="2A17FAB5" w:rsidR="6EAAB41B" w:rsidRDefault="00A00FF7" w:rsidP="6EAAB41B">
      <w:pPr>
        <w:jc w:val="both"/>
      </w:pPr>
      <w:r>
        <w:t>A relative likelihood score above 1.00 indicates that staff from ethnically diverse backgrounds are more likely than white staff to enter the formal disciplinary process. In 2025, this figure stands at 1.55</w:t>
      </w:r>
      <w:r w:rsidR="00170098">
        <w:t xml:space="preserve"> </w:t>
      </w:r>
      <w:r>
        <w:t xml:space="preserve">a slight improvement from 1.59 in the previous year. While the difference is modest, it reflects that 0.67% of </w:t>
      </w:r>
      <w:r w:rsidR="00C733AB">
        <w:t>s</w:t>
      </w:r>
      <w:r w:rsidR="00C733AB" w:rsidRPr="00C733AB">
        <w:t>taff from ethnically diverse backgrounds</w:t>
      </w:r>
      <w:r w:rsidR="00C733AB">
        <w:t xml:space="preserve"> </w:t>
      </w:r>
      <w:r>
        <w:t>entered the formal disciplinary process compared to 0.45% of white staff.</w:t>
      </w:r>
      <w:r w:rsidR="0024004C">
        <w:t xml:space="preserve"> </w:t>
      </w:r>
    </w:p>
    <w:p w14:paraId="0891736B" w14:textId="7FCF4A5C" w:rsidR="00036217" w:rsidRDefault="006912A2" w:rsidP="6EAAB41B">
      <w:pPr>
        <w:jc w:val="both"/>
      </w:pPr>
      <w:r>
        <w:rPr>
          <w:noProof/>
        </w:rPr>
        <w:drawing>
          <wp:inline distT="0" distB="0" distL="0" distR="0" wp14:anchorId="4E649A04" wp14:editId="5C1910FE">
            <wp:extent cx="4838018" cy="2552700"/>
            <wp:effectExtent l="0" t="0" r="9525" b="0"/>
            <wp:docPr id="785642108" name="Graphic 1" descr="Graph showing the relative likelihood of black or minority ethnic staff entering the formal disciplinary process compared to white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22">
                      <a:extLst>
                        <a:ext uri="{96DAC541-7B7A-43D3-8B79-37D633B846F1}">
                          <asvg:svgBlip xmlns:asvg="http://schemas.microsoft.com/office/drawing/2016/SVG/main" r:embed="rId23"/>
                        </a:ext>
                      </a:extLst>
                    </a:blip>
                    <a:stretch>
                      <a:fillRect/>
                    </a:stretch>
                  </pic:blipFill>
                  <pic:spPr>
                    <a:xfrm>
                      <a:off x="0" y="0"/>
                      <a:ext cx="4838018" cy="2552700"/>
                    </a:xfrm>
                    <a:prstGeom prst="rect">
                      <a:avLst/>
                    </a:prstGeom>
                  </pic:spPr>
                </pic:pic>
              </a:graphicData>
            </a:graphic>
          </wp:inline>
        </w:drawing>
      </w:r>
    </w:p>
    <w:p w14:paraId="3DDA87DB" w14:textId="198FAB0C" w:rsidR="004C0F55" w:rsidRDefault="00DB4A77" w:rsidP="6EAAB41B">
      <w:pPr>
        <w:jc w:val="both"/>
        <w:rPr>
          <w:b/>
          <w:bCs/>
          <w:i/>
          <w:iCs/>
        </w:rPr>
      </w:pPr>
      <w:r w:rsidRPr="00DB4A77">
        <w:rPr>
          <w:b/>
          <w:bCs/>
          <w:i/>
          <w:iCs/>
        </w:rPr>
        <w:t>Staff from e</w:t>
      </w:r>
      <w:r w:rsidR="004C0F55" w:rsidRPr="00DB4A77">
        <w:rPr>
          <w:b/>
          <w:bCs/>
          <w:i/>
          <w:iCs/>
        </w:rPr>
        <w:t xml:space="preserve">thnically diverse </w:t>
      </w:r>
      <w:r w:rsidRPr="00DB4A77">
        <w:rPr>
          <w:b/>
          <w:bCs/>
          <w:i/>
          <w:iCs/>
        </w:rPr>
        <w:t>backgrounds</w:t>
      </w:r>
      <w:r w:rsidR="004C0F55" w:rsidRPr="00DB4A77">
        <w:rPr>
          <w:b/>
          <w:bCs/>
          <w:i/>
          <w:iCs/>
        </w:rPr>
        <w:t xml:space="preserve"> shown here as BME (Black and Minority Ethnic) </w:t>
      </w:r>
    </w:p>
    <w:p w14:paraId="0DEEAC2D" w14:textId="77777777" w:rsidR="006304B4" w:rsidRDefault="00091678" w:rsidP="006304B4">
      <w:pPr>
        <w:jc w:val="both"/>
      </w:pPr>
      <w:r>
        <w:t>Staff from e</w:t>
      </w:r>
      <w:r w:rsidRPr="00091678">
        <w:t xml:space="preserve">thnically diverse </w:t>
      </w:r>
      <w:r>
        <w:t>backgrounds</w:t>
      </w:r>
      <w:r w:rsidRPr="00091678">
        <w:t xml:space="preserve"> are more likely to face formal disciplinary action, indicating potential bias or inconsistency in how policies are applied.</w:t>
      </w:r>
      <w:r w:rsidR="006304B4">
        <w:t xml:space="preserve"> </w:t>
      </w:r>
      <w:r w:rsidR="006304B4" w:rsidRPr="006304B4">
        <w:t xml:space="preserve">To address this ongoing disparity, training for managers on bias in the disciplinary process has been developed alongside adopting a ‘Just Culture’ model of practice into our policies and procedures. </w:t>
      </w:r>
    </w:p>
    <w:p w14:paraId="3FF10F74" w14:textId="77777777" w:rsidR="000F2043" w:rsidRPr="006304B4" w:rsidRDefault="000F2043" w:rsidP="006304B4">
      <w:pPr>
        <w:jc w:val="both"/>
      </w:pPr>
    </w:p>
    <w:p w14:paraId="50AD67F9" w14:textId="1A9C62C9" w:rsidR="00036217" w:rsidRDefault="00036217" w:rsidP="6EAAB41B">
      <w:pPr>
        <w:pStyle w:val="Heading1"/>
        <w:jc w:val="both"/>
      </w:pPr>
      <w:bookmarkStart w:id="10" w:name="_Toc196746733"/>
      <w:r>
        <w:lastRenderedPageBreak/>
        <w:t>Metric 4 - The relative likelihood of white staff accessing non–mandatory training and continuing professional development (CPD) compared to ethnically diverse staff</w:t>
      </w:r>
      <w:bookmarkEnd w:id="10"/>
      <w:r>
        <w:t xml:space="preserve"> </w:t>
      </w:r>
    </w:p>
    <w:p w14:paraId="083583BC" w14:textId="24EF333A" w:rsidR="00A63CF4" w:rsidRDefault="00A63CF4" w:rsidP="6EAAB41B">
      <w:pPr>
        <w:jc w:val="both"/>
      </w:pPr>
      <w:r>
        <w:t xml:space="preserve">The relative likelihood of </w:t>
      </w:r>
      <w:r w:rsidR="00F30A03">
        <w:t xml:space="preserve">staff from a </w:t>
      </w:r>
      <w:r>
        <w:t xml:space="preserve">white </w:t>
      </w:r>
      <w:r w:rsidR="00F30A03">
        <w:t>background</w:t>
      </w:r>
      <w:r>
        <w:t xml:space="preserve"> accessing non-mandatory training and continuous professional development (CPD) compared to staff from ethnically diverse backgrounds is 1.28</w:t>
      </w:r>
      <w:r w:rsidR="0099324D">
        <w:t xml:space="preserve"> </w:t>
      </w:r>
      <w:r>
        <w:t>an increase from 1.24 in 2023/24. A score above 1.00 indicates that white staff are more likely to access these development opportunities.</w:t>
      </w:r>
    </w:p>
    <w:p w14:paraId="58967950" w14:textId="080B7B6C" w:rsidR="00B0312B" w:rsidRDefault="00A63CF4" w:rsidP="6EAAB41B">
      <w:pPr>
        <w:jc w:val="both"/>
      </w:pPr>
      <w:r>
        <w:t>This metric is based on the total number of course attendances among substantive staff, meaning individuals attending multiple sessions are counted more than once. When using a distinct headcount of individual participants instead, the relative likelihood increases slightly to 1.29. Current guidance does not clearly specify whether to report on attendance count or distinct attendees. Historically, the Trust has reported based on the number of attendees; however, both approaches yield similar outcomes.</w:t>
      </w:r>
    </w:p>
    <w:p w14:paraId="2D95902E" w14:textId="454C0A24" w:rsidR="009B224F" w:rsidRPr="00B0312B" w:rsidRDefault="009B224F" w:rsidP="6EAAB41B">
      <w:pPr>
        <w:jc w:val="both"/>
      </w:pPr>
      <w:r>
        <w:t xml:space="preserve">An example of this could </w:t>
      </w:r>
      <w:r w:rsidR="00AF5563">
        <w:t xml:space="preserve">be </w:t>
      </w:r>
      <w:r w:rsidR="00533507">
        <w:t>an individual attending two out of three training sessions on allyship. The attendance count would include them twice,</w:t>
      </w:r>
      <w:r w:rsidR="00F21520">
        <w:t xml:space="preserve"> whereas the distinct count would include them once. </w:t>
      </w:r>
    </w:p>
    <w:p w14:paraId="19F7FDA5" w14:textId="11351C63" w:rsidR="6EAAB41B" w:rsidRDefault="6EAAB41B" w:rsidP="6EAAB41B">
      <w:pPr>
        <w:jc w:val="both"/>
      </w:pPr>
    </w:p>
    <w:p w14:paraId="1C73921E" w14:textId="5D9682B6" w:rsidR="00036217" w:rsidRDefault="006912A2" w:rsidP="6EAAB41B">
      <w:pPr>
        <w:jc w:val="both"/>
      </w:pPr>
      <w:r>
        <w:rPr>
          <w:noProof/>
        </w:rPr>
        <w:drawing>
          <wp:inline distT="0" distB="0" distL="0" distR="0" wp14:anchorId="72215EE6" wp14:editId="2494F858">
            <wp:extent cx="3752491" cy="2733465"/>
            <wp:effectExtent l="0" t="0" r="635" b="0"/>
            <wp:docPr id="238924200" name="Graphic 1" descr="This is a graph showing the relative likelihood of white staff accessing non-mandatory training and continuous professional development compared to black or ethnic minority sta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24">
                      <a:extLst>
                        <a:ext uri="{96DAC541-7B7A-43D3-8B79-37D633B846F1}">
                          <asvg:svgBlip xmlns:asvg="http://schemas.microsoft.com/office/drawing/2016/SVG/main" r:embed="rId25"/>
                        </a:ext>
                      </a:extLst>
                    </a:blip>
                    <a:stretch>
                      <a:fillRect/>
                    </a:stretch>
                  </pic:blipFill>
                  <pic:spPr>
                    <a:xfrm>
                      <a:off x="0" y="0"/>
                      <a:ext cx="3763394" cy="2741407"/>
                    </a:xfrm>
                    <a:prstGeom prst="rect">
                      <a:avLst/>
                    </a:prstGeom>
                  </pic:spPr>
                </pic:pic>
              </a:graphicData>
            </a:graphic>
          </wp:inline>
        </w:drawing>
      </w:r>
    </w:p>
    <w:p w14:paraId="54965B4C" w14:textId="33DBB521" w:rsidR="004C0F55" w:rsidRPr="00E43422" w:rsidRDefault="005D04DE" w:rsidP="6EAAB41B">
      <w:pPr>
        <w:jc w:val="both"/>
        <w:rPr>
          <w:b/>
          <w:bCs/>
          <w:i/>
          <w:iCs/>
        </w:rPr>
      </w:pPr>
      <w:r w:rsidRPr="00E43422">
        <w:rPr>
          <w:b/>
          <w:bCs/>
          <w:i/>
          <w:iCs/>
        </w:rPr>
        <w:t xml:space="preserve">Staff </w:t>
      </w:r>
      <w:r w:rsidR="00E43422" w:rsidRPr="00E43422">
        <w:rPr>
          <w:b/>
          <w:bCs/>
          <w:i/>
          <w:iCs/>
        </w:rPr>
        <w:t>from e</w:t>
      </w:r>
      <w:r w:rsidR="004C0F55" w:rsidRPr="00E43422">
        <w:rPr>
          <w:b/>
          <w:bCs/>
          <w:i/>
          <w:iCs/>
        </w:rPr>
        <w:t xml:space="preserve">thnically diverse </w:t>
      </w:r>
      <w:r w:rsidR="00E43422" w:rsidRPr="00E43422">
        <w:rPr>
          <w:b/>
          <w:bCs/>
          <w:i/>
          <w:iCs/>
        </w:rPr>
        <w:t>backgrounds</w:t>
      </w:r>
      <w:r w:rsidR="004C0F55" w:rsidRPr="00E43422">
        <w:rPr>
          <w:b/>
          <w:bCs/>
          <w:i/>
          <w:iCs/>
        </w:rPr>
        <w:t xml:space="preserve"> shown here as BME (Black and Minority Ethnic) </w:t>
      </w:r>
    </w:p>
    <w:p w14:paraId="5BD446FF" w14:textId="1341C924" w:rsidR="00036217" w:rsidRDefault="00D933EB" w:rsidP="6EAAB41B">
      <w:pPr>
        <w:jc w:val="both"/>
      </w:pPr>
      <w:r w:rsidRPr="00D933EB">
        <w:t>The</w:t>
      </w:r>
      <w:r>
        <w:t xml:space="preserve"> data </w:t>
      </w:r>
      <w:r w:rsidR="00067F03">
        <w:t>suggests</w:t>
      </w:r>
      <w:r>
        <w:t xml:space="preserve"> </w:t>
      </w:r>
      <w:r w:rsidR="00067F03">
        <w:t xml:space="preserve">there </w:t>
      </w:r>
      <w:r w:rsidRPr="00D933EB">
        <w:t xml:space="preserve">are barriers to development opportunities for </w:t>
      </w:r>
      <w:r w:rsidR="00067F03">
        <w:t xml:space="preserve">staff from </w:t>
      </w:r>
      <w:r w:rsidRPr="00D933EB">
        <w:t xml:space="preserve">ethnically diverse </w:t>
      </w:r>
      <w:r w:rsidR="00067F03">
        <w:t>backgrounds</w:t>
      </w:r>
      <w:r w:rsidRPr="00D933EB">
        <w:t>, which may impact long-term career progression.</w:t>
      </w:r>
    </w:p>
    <w:p w14:paraId="161EBFAA" w14:textId="458EED93" w:rsidR="00036217" w:rsidRDefault="00036217" w:rsidP="00946B49">
      <w:pPr>
        <w:pStyle w:val="Heading1"/>
        <w:jc w:val="both"/>
      </w:pPr>
      <w:bookmarkStart w:id="11" w:name="_Toc196746734"/>
      <w:r>
        <w:lastRenderedPageBreak/>
        <w:t>Metric 5 - The percentage of staff experiencing</w:t>
      </w:r>
      <w:r w:rsidR="00946B49">
        <w:t xml:space="preserve"> </w:t>
      </w:r>
      <w:r>
        <w:t xml:space="preserve">harassment, bullying or abuse from patients, </w:t>
      </w:r>
      <w:r>
        <w:br/>
        <w:t>relatives or the public</w:t>
      </w:r>
      <w:bookmarkEnd w:id="11"/>
    </w:p>
    <w:p w14:paraId="08AF7831" w14:textId="7E660FCD" w:rsidR="002F5FCC" w:rsidRDefault="002F5FCC" w:rsidP="6EAAB41B">
      <w:pPr>
        <w:jc w:val="both"/>
      </w:pPr>
      <w:r>
        <w:t xml:space="preserve">The proportion of staff reporting harassment, bullying, or abuse from patients, relatives, or the public in the past 12 months has increased among </w:t>
      </w:r>
      <w:r w:rsidR="00D3427D">
        <w:t xml:space="preserve">staff from </w:t>
      </w:r>
      <w:r>
        <w:t xml:space="preserve">ethnically diverse </w:t>
      </w:r>
      <w:r w:rsidR="00D3427D">
        <w:t>backgrounds</w:t>
      </w:r>
      <w:r>
        <w:t>, rising to 24.68% in 2024</w:t>
      </w:r>
      <w:r w:rsidR="008D4560">
        <w:t>,</w:t>
      </w:r>
      <w:r w:rsidR="0099324D">
        <w:t xml:space="preserve"> </w:t>
      </w:r>
      <w:r>
        <w:t>a 2.3 percentage point increase from the previous year. In contrast, the rate for</w:t>
      </w:r>
      <w:r w:rsidR="008D4560">
        <w:t xml:space="preserve"> staff from</w:t>
      </w:r>
      <w:r>
        <w:t xml:space="preserve"> white </w:t>
      </w:r>
      <w:r w:rsidR="008D4560">
        <w:t>backgrounds</w:t>
      </w:r>
      <w:r>
        <w:t xml:space="preserve"> has decreased to 21.67%,</w:t>
      </w:r>
      <w:r w:rsidR="008D4560">
        <w:t xml:space="preserve"> </w:t>
      </w:r>
      <w:r>
        <w:t>representing</w:t>
      </w:r>
      <w:r w:rsidR="00741942">
        <w:t xml:space="preserve"> </w:t>
      </w:r>
      <w:r>
        <w:t>a 2.7 percentage point improvement.</w:t>
      </w:r>
      <w:r>
        <w:br/>
      </w:r>
    </w:p>
    <w:p w14:paraId="5390BF01" w14:textId="106A4A18" w:rsidR="002F5FCC" w:rsidRPr="002F5FCC" w:rsidRDefault="008D4560" w:rsidP="6EAAB41B">
      <w:pPr>
        <w:jc w:val="both"/>
      </w:pPr>
      <w:r>
        <w:t>S</w:t>
      </w:r>
      <w:r w:rsidRPr="008D4560">
        <w:t>taff from ethnically diverse backgrounds</w:t>
      </w:r>
      <w:r w:rsidR="002F5FCC">
        <w:t xml:space="preserve"> accounted for 24.8% of all completed staff surveys in 2024.</w:t>
      </w:r>
    </w:p>
    <w:p w14:paraId="4060EBA1" w14:textId="2C3A4E45" w:rsidR="00036217" w:rsidRDefault="0071016F" w:rsidP="6EAAB41B">
      <w:pPr>
        <w:jc w:val="both"/>
      </w:pPr>
      <w:r>
        <w:rPr>
          <w:noProof/>
        </w:rPr>
        <w:drawing>
          <wp:inline distT="0" distB="0" distL="0" distR="0" wp14:anchorId="53D96ACE" wp14:editId="3C7241FA">
            <wp:extent cx="5731510" cy="2091055"/>
            <wp:effectExtent l="0" t="0" r="2540" b="4445"/>
            <wp:docPr id="359648313" name="Picture 1" descr="see table 1 for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2091055"/>
                    </a:xfrm>
                    <a:prstGeom prst="rect">
                      <a:avLst/>
                    </a:prstGeom>
                  </pic:spPr>
                </pic:pic>
              </a:graphicData>
            </a:graphic>
          </wp:inline>
        </w:drawing>
      </w:r>
    </w:p>
    <w:p w14:paraId="21382850" w14:textId="1460B2B3" w:rsidR="00036217" w:rsidRDefault="00655F41" w:rsidP="6EAAB41B">
      <w:pPr>
        <w:jc w:val="both"/>
      </w:pPr>
      <w:bookmarkStart w:id="12" w:name="_Hlk195540204"/>
      <w:r>
        <w:t xml:space="preserve">Table 1: </w:t>
      </w:r>
      <w:r w:rsidR="00BB6344">
        <w:t>Workforce Race Equality Data for Metric 5 from 2020 to 2024.</w:t>
      </w:r>
    </w:p>
    <w:tbl>
      <w:tblPr>
        <w:tblStyle w:val="TableGrid"/>
        <w:tblW w:w="0" w:type="auto"/>
        <w:tblLook w:val="04A0" w:firstRow="1" w:lastRow="0" w:firstColumn="1" w:lastColumn="0" w:noHBand="0" w:noVBand="1"/>
      </w:tblPr>
      <w:tblGrid>
        <w:gridCol w:w="4036"/>
        <w:gridCol w:w="996"/>
        <w:gridCol w:w="996"/>
        <w:gridCol w:w="996"/>
        <w:gridCol w:w="996"/>
        <w:gridCol w:w="996"/>
      </w:tblGrid>
      <w:tr w:rsidR="004D7C94" w14:paraId="18FABD95" w14:textId="77777777" w:rsidTr="6EAAB41B">
        <w:tc>
          <w:tcPr>
            <w:tcW w:w="4106" w:type="dxa"/>
          </w:tcPr>
          <w:bookmarkEnd w:id="12"/>
          <w:p w14:paraId="4216C12F" w14:textId="77777777" w:rsidR="00201911" w:rsidRPr="00201911" w:rsidRDefault="00201911" w:rsidP="6EAAB41B">
            <w:pPr>
              <w:jc w:val="both"/>
              <w:rPr>
                <w:b/>
                <w:bCs/>
              </w:rPr>
            </w:pPr>
            <w:r w:rsidRPr="6EAAB41B">
              <w:rPr>
                <w:b/>
                <w:bCs/>
              </w:rPr>
              <w:t>Staff group</w:t>
            </w:r>
          </w:p>
        </w:tc>
        <w:tc>
          <w:tcPr>
            <w:tcW w:w="992" w:type="dxa"/>
          </w:tcPr>
          <w:p w14:paraId="7DFDF21A" w14:textId="77777777" w:rsidR="00201911" w:rsidRPr="00201911" w:rsidRDefault="00201911" w:rsidP="6EAAB41B">
            <w:pPr>
              <w:jc w:val="both"/>
              <w:rPr>
                <w:b/>
                <w:bCs/>
              </w:rPr>
            </w:pPr>
            <w:r w:rsidRPr="6EAAB41B">
              <w:rPr>
                <w:b/>
                <w:bCs/>
              </w:rPr>
              <w:t>2020</w:t>
            </w:r>
          </w:p>
        </w:tc>
        <w:tc>
          <w:tcPr>
            <w:tcW w:w="993" w:type="dxa"/>
          </w:tcPr>
          <w:p w14:paraId="123DBAF8" w14:textId="77777777" w:rsidR="00201911" w:rsidRPr="00201911" w:rsidRDefault="00201911" w:rsidP="6EAAB41B">
            <w:pPr>
              <w:jc w:val="both"/>
              <w:rPr>
                <w:b/>
                <w:bCs/>
              </w:rPr>
            </w:pPr>
            <w:r w:rsidRPr="6EAAB41B">
              <w:rPr>
                <w:b/>
                <w:bCs/>
              </w:rPr>
              <w:t>2021</w:t>
            </w:r>
          </w:p>
        </w:tc>
        <w:tc>
          <w:tcPr>
            <w:tcW w:w="992" w:type="dxa"/>
          </w:tcPr>
          <w:p w14:paraId="653A88BE" w14:textId="77777777" w:rsidR="00201911" w:rsidRPr="00201911" w:rsidRDefault="00201911" w:rsidP="6EAAB41B">
            <w:pPr>
              <w:jc w:val="both"/>
              <w:rPr>
                <w:b/>
                <w:bCs/>
              </w:rPr>
            </w:pPr>
            <w:r w:rsidRPr="6EAAB41B">
              <w:rPr>
                <w:b/>
                <w:bCs/>
              </w:rPr>
              <w:t>2022</w:t>
            </w:r>
          </w:p>
        </w:tc>
        <w:tc>
          <w:tcPr>
            <w:tcW w:w="992" w:type="dxa"/>
          </w:tcPr>
          <w:p w14:paraId="119CDA43" w14:textId="77777777" w:rsidR="00201911" w:rsidRPr="00201911" w:rsidRDefault="00201911" w:rsidP="6EAAB41B">
            <w:pPr>
              <w:jc w:val="both"/>
              <w:rPr>
                <w:b/>
                <w:bCs/>
              </w:rPr>
            </w:pPr>
            <w:r w:rsidRPr="6EAAB41B">
              <w:rPr>
                <w:b/>
                <w:bCs/>
              </w:rPr>
              <w:t>2023</w:t>
            </w:r>
          </w:p>
        </w:tc>
        <w:tc>
          <w:tcPr>
            <w:tcW w:w="941" w:type="dxa"/>
          </w:tcPr>
          <w:p w14:paraId="496DEBC5" w14:textId="77777777" w:rsidR="00201911" w:rsidRPr="00201911" w:rsidRDefault="00201911" w:rsidP="6EAAB41B">
            <w:pPr>
              <w:jc w:val="both"/>
              <w:rPr>
                <w:b/>
                <w:bCs/>
              </w:rPr>
            </w:pPr>
            <w:r w:rsidRPr="6EAAB41B">
              <w:rPr>
                <w:b/>
                <w:bCs/>
              </w:rPr>
              <w:t>2024</w:t>
            </w:r>
          </w:p>
        </w:tc>
      </w:tr>
      <w:tr w:rsidR="00943775" w14:paraId="6CE3C5FC" w14:textId="77777777" w:rsidTr="6EAAB41B">
        <w:tc>
          <w:tcPr>
            <w:tcW w:w="4106" w:type="dxa"/>
          </w:tcPr>
          <w:p w14:paraId="6647CEE0" w14:textId="77777777" w:rsidR="00201911" w:rsidRDefault="00201911" w:rsidP="6EAAB41B">
            <w:pPr>
              <w:jc w:val="both"/>
            </w:pPr>
            <w:r>
              <w:t>White staff DGFT</w:t>
            </w:r>
          </w:p>
        </w:tc>
        <w:tc>
          <w:tcPr>
            <w:tcW w:w="992" w:type="dxa"/>
          </w:tcPr>
          <w:p w14:paraId="6BD847BB" w14:textId="4F039BF7" w:rsidR="00201911" w:rsidRDefault="004D7C94" w:rsidP="6EAAB41B">
            <w:pPr>
              <w:jc w:val="both"/>
            </w:pPr>
            <w:r>
              <w:t>25.56%</w:t>
            </w:r>
          </w:p>
        </w:tc>
        <w:tc>
          <w:tcPr>
            <w:tcW w:w="993" w:type="dxa"/>
          </w:tcPr>
          <w:p w14:paraId="6344C166" w14:textId="743548EB" w:rsidR="00201911" w:rsidRDefault="004D7C94" w:rsidP="6EAAB41B">
            <w:pPr>
              <w:jc w:val="both"/>
            </w:pPr>
            <w:r>
              <w:t>25.52%</w:t>
            </w:r>
          </w:p>
        </w:tc>
        <w:tc>
          <w:tcPr>
            <w:tcW w:w="992" w:type="dxa"/>
          </w:tcPr>
          <w:p w14:paraId="5FBC589E" w14:textId="49E87B93" w:rsidR="00201911" w:rsidRDefault="00943775" w:rsidP="6EAAB41B">
            <w:pPr>
              <w:jc w:val="both"/>
            </w:pPr>
            <w:r>
              <w:t>24.78%</w:t>
            </w:r>
          </w:p>
        </w:tc>
        <w:tc>
          <w:tcPr>
            <w:tcW w:w="992" w:type="dxa"/>
          </w:tcPr>
          <w:p w14:paraId="57A09B2F" w14:textId="6157B1F7" w:rsidR="00201911" w:rsidRDefault="00943775" w:rsidP="6EAAB41B">
            <w:pPr>
              <w:jc w:val="both"/>
            </w:pPr>
            <w:r>
              <w:t>24.37%</w:t>
            </w:r>
          </w:p>
        </w:tc>
        <w:tc>
          <w:tcPr>
            <w:tcW w:w="941" w:type="dxa"/>
          </w:tcPr>
          <w:p w14:paraId="476E4898" w14:textId="52D98C84" w:rsidR="00201911" w:rsidRDefault="00943775" w:rsidP="6EAAB41B">
            <w:pPr>
              <w:jc w:val="both"/>
            </w:pPr>
            <w:r>
              <w:t>21.67%</w:t>
            </w:r>
          </w:p>
        </w:tc>
      </w:tr>
      <w:tr w:rsidR="004D7C94" w14:paraId="4BAFB510" w14:textId="77777777" w:rsidTr="6EAAB41B">
        <w:tc>
          <w:tcPr>
            <w:tcW w:w="4106" w:type="dxa"/>
          </w:tcPr>
          <w:p w14:paraId="792F3B6C" w14:textId="77777777" w:rsidR="00201911" w:rsidRDefault="00201911" w:rsidP="6EAAB41B">
            <w:pPr>
              <w:jc w:val="both"/>
            </w:pPr>
            <w:r>
              <w:t>All other ethnic groups DGFT</w:t>
            </w:r>
          </w:p>
        </w:tc>
        <w:tc>
          <w:tcPr>
            <w:tcW w:w="992" w:type="dxa"/>
          </w:tcPr>
          <w:p w14:paraId="24078736" w14:textId="104A6152" w:rsidR="00201911" w:rsidRDefault="00943775" w:rsidP="6EAAB41B">
            <w:pPr>
              <w:jc w:val="both"/>
            </w:pPr>
            <w:r>
              <w:t>27.09%</w:t>
            </w:r>
          </w:p>
        </w:tc>
        <w:tc>
          <w:tcPr>
            <w:tcW w:w="993" w:type="dxa"/>
          </w:tcPr>
          <w:p w14:paraId="4FDAE886" w14:textId="6E624484" w:rsidR="00201911" w:rsidRDefault="00943775" w:rsidP="6EAAB41B">
            <w:pPr>
              <w:jc w:val="both"/>
            </w:pPr>
            <w:r>
              <w:t>27.71%</w:t>
            </w:r>
          </w:p>
        </w:tc>
        <w:tc>
          <w:tcPr>
            <w:tcW w:w="992" w:type="dxa"/>
          </w:tcPr>
          <w:p w14:paraId="1C174894" w14:textId="63FD7AA4" w:rsidR="00201911" w:rsidRDefault="00943775" w:rsidP="6EAAB41B">
            <w:pPr>
              <w:jc w:val="both"/>
            </w:pPr>
            <w:r>
              <w:t>26.17%</w:t>
            </w:r>
          </w:p>
        </w:tc>
        <w:tc>
          <w:tcPr>
            <w:tcW w:w="992" w:type="dxa"/>
          </w:tcPr>
          <w:p w14:paraId="44481ED2" w14:textId="78EA0F46" w:rsidR="00201911" w:rsidRDefault="00943775" w:rsidP="6EAAB41B">
            <w:pPr>
              <w:jc w:val="both"/>
            </w:pPr>
            <w:r>
              <w:t>24.68%</w:t>
            </w:r>
          </w:p>
        </w:tc>
        <w:tc>
          <w:tcPr>
            <w:tcW w:w="941" w:type="dxa"/>
          </w:tcPr>
          <w:p w14:paraId="1DD33BF4" w14:textId="1C573EAB" w:rsidR="00201911" w:rsidRDefault="00943775" w:rsidP="6EAAB41B">
            <w:pPr>
              <w:jc w:val="both"/>
            </w:pPr>
            <w:r>
              <w:t>26.97%</w:t>
            </w:r>
          </w:p>
        </w:tc>
      </w:tr>
      <w:tr w:rsidR="004D7C94" w14:paraId="327E1AC2" w14:textId="77777777" w:rsidTr="6EAAB41B">
        <w:tc>
          <w:tcPr>
            <w:tcW w:w="4106" w:type="dxa"/>
          </w:tcPr>
          <w:p w14:paraId="2EC21436" w14:textId="77777777" w:rsidR="00201911" w:rsidRDefault="00201911" w:rsidP="6EAAB41B">
            <w:pPr>
              <w:jc w:val="both"/>
            </w:pPr>
            <w:r>
              <w:t>White staff average</w:t>
            </w:r>
          </w:p>
        </w:tc>
        <w:tc>
          <w:tcPr>
            <w:tcW w:w="992" w:type="dxa"/>
          </w:tcPr>
          <w:p w14:paraId="668E1695" w14:textId="67083E13" w:rsidR="00201911" w:rsidRDefault="00855AC6" w:rsidP="6EAAB41B">
            <w:pPr>
              <w:jc w:val="both"/>
            </w:pPr>
            <w:r>
              <w:t>25.36%</w:t>
            </w:r>
          </w:p>
        </w:tc>
        <w:tc>
          <w:tcPr>
            <w:tcW w:w="993" w:type="dxa"/>
          </w:tcPr>
          <w:p w14:paraId="74055075" w14:textId="3D490BA2" w:rsidR="00201911" w:rsidRDefault="00855AC6" w:rsidP="6EAAB41B">
            <w:pPr>
              <w:jc w:val="both"/>
            </w:pPr>
            <w:r>
              <w:t>26.47%</w:t>
            </w:r>
          </w:p>
        </w:tc>
        <w:tc>
          <w:tcPr>
            <w:tcW w:w="992" w:type="dxa"/>
          </w:tcPr>
          <w:p w14:paraId="0AEC7BCA" w14:textId="0A8DF0DF" w:rsidR="00201911" w:rsidRDefault="00855AC6" w:rsidP="6EAAB41B">
            <w:pPr>
              <w:jc w:val="both"/>
            </w:pPr>
            <w:r>
              <w:t>26.91%</w:t>
            </w:r>
          </w:p>
        </w:tc>
        <w:tc>
          <w:tcPr>
            <w:tcW w:w="992" w:type="dxa"/>
          </w:tcPr>
          <w:p w14:paraId="2D559B6C" w14:textId="28409FEF" w:rsidR="00201911" w:rsidRDefault="00855AC6" w:rsidP="6EAAB41B">
            <w:pPr>
              <w:jc w:val="both"/>
            </w:pPr>
            <w:r>
              <w:t>24.05%</w:t>
            </w:r>
          </w:p>
        </w:tc>
        <w:tc>
          <w:tcPr>
            <w:tcW w:w="941" w:type="dxa"/>
          </w:tcPr>
          <w:p w14:paraId="48384A10" w14:textId="4BE52FF8" w:rsidR="00201911" w:rsidRDefault="00855AC6" w:rsidP="6EAAB41B">
            <w:pPr>
              <w:jc w:val="both"/>
            </w:pPr>
            <w:r>
              <w:t>23.21%</w:t>
            </w:r>
          </w:p>
        </w:tc>
      </w:tr>
      <w:tr w:rsidR="004D7C94" w14:paraId="03895442" w14:textId="77777777" w:rsidTr="6EAAB41B">
        <w:tc>
          <w:tcPr>
            <w:tcW w:w="4106" w:type="dxa"/>
          </w:tcPr>
          <w:p w14:paraId="2AD5613D" w14:textId="3F646C6A" w:rsidR="00201911" w:rsidRDefault="00201911" w:rsidP="6EAAB41B">
            <w:pPr>
              <w:jc w:val="both"/>
            </w:pPr>
            <w:r>
              <w:t xml:space="preserve">All other ethnic </w:t>
            </w:r>
            <w:r w:rsidR="00836011">
              <w:t>group's</w:t>
            </w:r>
            <w:r>
              <w:t xml:space="preserve"> average</w:t>
            </w:r>
          </w:p>
        </w:tc>
        <w:tc>
          <w:tcPr>
            <w:tcW w:w="992" w:type="dxa"/>
          </w:tcPr>
          <w:p w14:paraId="5700360E" w14:textId="03582175" w:rsidR="00201911" w:rsidRDefault="00855AC6" w:rsidP="6EAAB41B">
            <w:pPr>
              <w:jc w:val="both"/>
            </w:pPr>
            <w:r>
              <w:t>28.01%</w:t>
            </w:r>
          </w:p>
        </w:tc>
        <w:tc>
          <w:tcPr>
            <w:tcW w:w="993" w:type="dxa"/>
          </w:tcPr>
          <w:p w14:paraId="3E268935" w14:textId="0F43C755" w:rsidR="00201911" w:rsidRDefault="00836011" w:rsidP="6EAAB41B">
            <w:pPr>
              <w:jc w:val="both"/>
            </w:pPr>
            <w:r>
              <w:t>28.84%</w:t>
            </w:r>
          </w:p>
        </w:tc>
        <w:tc>
          <w:tcPr>
            <w:tcW w:w="992" w:type="dxa"/>
          </w:tcPr>
          <w:p w14:paraId="676A9317" w14:textId="0CD859AB" w:rsidR="00201911" w:rsidRDefault="00836011" w:rsidP="6EAAB41B">
            <w:pPr>
              <w:jc w:val="both"/>
            </w:pPr>
            <w:r>
              <w:t>30.82%</w:t>
            </w:r>
          </w:p>
        </w:tc>
        <w:tc>
          <w:tcPr>
            <w:tcW w:w="992" w:type="dxa"/>
          </w:tcPr>
          <w:p w14:paraId="7E99B537" w14:textId="6500B7CB" w:rsidR="00201911" w:rsidRDefault="00836011" w:rsidP="6EAAB41B">
            <w:pPr>
              <w:jc w:val="both"/>
            </w:pPr>
            <w:r>
              <w:t>27.34%</w:t>
            </w:r>
          </w:p>
        </w:tc>
        <w:tc>
          <w:tcPr>
            <w:tcW w:w="941" w:type="dxa"/>
          </w:tcPr>
          <w:p w14:paraId="69C9F358" w14:textId="6F98D544" w:rsidR="00201911" w:rsidRDefault="00836011" w:rsidP="6EAAB41B">
            <w:pPr>
              <w:jc w:val="both"/>
            </w:pPr>
            <w:r>
              <w:t>28.27%</w:t>
            </w:r>
          </w:p>
        </w:tc>
      </w:tr>
      <w:tr w:rsidR="00943775" w14:paraId="0F74C1ED" w14:textId="77777777" w:rsidTr="6EAAB41B">
        <w:tc>
          <w:tcPr>
            <w:tcW w:w="4106" w:type="dxa"/>
          </w:tcPr>
          <w:p w14:paraId="467220EC" w14:textId="77777777" w:rsidR="00201911" w:rsidRDefault="00201911" w:rsidP="6EAAB41B">
            <w:pPr>
              <w:jc w:val="both"/>
            </w:pPr>
            <w:r>
              <w:t>White staff responses</w:t>
            </w:r>
          </w:p>
        </w:tc>
        <w:tc>
          <w:tcPr>
            <w:tcW w:w="992" w:type="dxa"/>
          </w:tcPr>
          <w:p w14:paraId="2365D960" w14:textId="32B75FDC" w:rsidR="00201911" w:rsidRDefault="00DC384A" w:rsidP="6EAAB41B">
            <w:pPr>
              <w:jc w:val="both"/>
            </w:pPr>
            <w:r>
              <w:t>1796</w:t>
            </w:r>
          </w:p>
        </w:tc>
        <w:tc>
          <w:tcPr>
            <w:tcW w:w="993" w:type="dxa"/>
          </w:tcPr>
          <w:p w14:paraId="1550F0F9" w14:textId="377FBB5F" w:rsidR="00201911" w:rsidRDefault="00DC384A" w:rsidP="6EAAB41B">
            <w:pPr>
              <w:jc w:val="both"/>
            </w:pPr>
            <w:r>
              <w:t>2449</w:t>
            </w:r>
          </w:p>
        </w:tc>
        <w:tc>
          <w:tcPr>
            <w:tcW w:w="992" w:type="dxa"/>
          </w:tcPr>
          <w:p w14:paraId="5D3943AB" w14:textId="0328ECC3" w:rsidR="00201911" w:rsidRDefault="00DC384A" w:rsidP="6EAAB41B">
            <w:pPr>
              <w:jc w:val="both"/>
            </w:pPr>
            <w:r>
              <w:t>21</w:t>
            </w:r>
            <w:r w:rsidR="0028688E">
              <w:t>47</w:t>
            </w:r>
          </w:p>
        </w:tc>
        <w:tc>
          <w:tcPr>
            <w:tcW w:w="992" w:type="dxa"/>
          </w:tcPr>
          <w:p w14:paraId="78E5CE56" w14:textId="7093C171" w:rsidR="00201911" w:rsidRDefault="0028688E" w:rsidP="6EAAB41B">
            <w:pPr>
              <w:jc w:val="both"/>
            </w:pPr>
            <w:r>
              <w:t>1912</w:t>
            </w:r>
          </w:p>
        </w:tc>
        <w:tc>
          <w:tcPr>
            <w:tcW w:w="941" w:type="dxa"/>
          </w:tcPr>
          <w:p w14:paraId="2329A391" w14:textId="10C0291D" w:rsidR="00201911" w:rsidRDefault="0028688E" w:rsidP="6EAAB41B">
            <w:pPr>
              <w:jc w:val="both"/>
            </w:pPr>
            <w:r>
              <w:t>2169</w:t>
            </w:r>
          </w:p>
        </w:tc>
      </w:tr>
      <w:tr w:rsidR="004D7C94" w14:paraId="0781E4D2" w14:textId="77777777" w:rsidTr="6EAAB41B">
        <w:tc>
          <w:tcPr>
            <w:tcW w:w="4106" w:type="dxa"/>
          </w:tcPr>
          <w:p w14:paraId="0D40692F" w14:textId="77777777" w:rsidR="00201911" w:rsidRDefault="00201911" w:rsidP="6EAAB41B">
            <w:pPr>
              <w:jc w:val="both"/>
            </w:pPr>
            <w:r>
              <w:t xml:space="preserve">All other ethnic group responses </w:t>
            </w:r>
          </w:p>
        </w:tc>
        <w:tc>
          <w:tcPr>
            <w:tcW w:w="992" w:type="dxa"/>
          </w:tcPr>
          <w:p w14:paraId="7B0FD982" w14:textId="26D14E4D" w:rsidR="00201911" w:rsidRDefault="0028688E" w:rsidP="6EAAB41B">
            <w:pPr>
              <w:jc w:val="both"/>
            </w:pPr>
            <w:r>
              <w:t>299</w:t>
            </w:r>
          </w:p>
        </w:tc>
        <w:tc>
          <w:tcPr>
            <w:tcW w:w="993" w:type="dxa"/>
          </w:tcPr>
          <w:p w14:paraId="2A183B3A" w14:textId="6A27DF73" w:rsidR="00201911" w:rsidRDefault="0028688E" w:rsidP="6EAAB41B">
            <w:pPr>
              <w:jc w:val="both"/>
            </w:pPr>
            <w:r>
              <w:t>480</w:t>
            </w:r>
          </w:p>
        </w:tc>
        <w:tc>
          <w:tcPr>
            <w:tcW w:w="992" w:type="dxa"/>
          </w:tcPr>
          <w:p w14:paraId="7EA4E23A" w14:textId="5BD98937" w:rsidR="00201911" w:rsidRDefault="0028688E" w:rsidP="6EAAB41B">
            <w:pPr>
              <w:jc w:val="both"/>
            </w:pPr>
            <w:r>
              <w:t>577</w:t>
            </w:r>
          </w:p>
        </w:tc>
        <w:tc>
          <w:tcPr>
            <w:tcW w:w="992" w:type="dxa"/>
          </w:tcPr>
          <w:p w14:paraId="1687DA30" w14:textId="4E451E1F" w:rsidR="00201911" w:rsidRDefault="0028688E" w:rsidP="6EAAB41B">
            <w:pPr>
              <w:jc w:val="both"/>
            </w:pPr>
            <w:r>
              <w:t>575</w:t>
            </w:r>
          </w:p>
        </w:tc>
        <w:tc>
          <w:tcPr>
            <w:tcW w:w="941" w:type="dxa"/>
          </w:tcPr>
          <w:p w14:paraId="74CA1483" w14:textId="45CAFB0A" w:rsidR="00201911" w:rsidRDefault="0028688E" w:rsidP="6EAAB41B">
            <w:pPr>
              <w:jc w:val="both"/>
            </w:pPr>
            <w:r>
              <w:t>712</w:t>
            </w:r>
          </w:p>
        </w:tc>
      </w:tr>
    </w:tbl>
    <w:p w14:paraId="35516348" w14:textId="77777777" w:rsidR="00036217" w:rsidRDefault="00036217" w:rsidP="6EAAB41B">
      <w:pPr>
        <w:jc w:val="both"/>
      </w:pPr>
    </w:p>
    <w:p w14:paraId="4056C08E" w14:textId="142DBE7B" w:rsidR="00036217" w:rsidRDefault="002D0075" w:rsidP="6EAAB41B">
      <w:pPr>
        <w:jc w:val="both"/>
      </w:pPr>
      <w:r>
        <w:t>Staff from e</w:t>
      </w:r>
      <w:r w:rsidRPr="002D0075">
        <w:t>thnically diverse</w:t>
      </w:r>
      <w:r>
        <w:t xml:space="preserve"> backgrounds</w:t>
      </w:r>
      <w:r w:rsidRPr="002D0075">
        <w:t xml:space="preserve"> are experiencing rising levels of abuse from the public, indicating a need for stronger protections and public-facing campaigns.</w:t>
      </w:r>
    </w:p>
    <w:p w14:paraId="1C7ACCEA" w14:textId="0A3B2471" w:rsidR="008C1DC1" w:rsidRDefault="00036217" w:rsidP="6EAAB41B">
      <w:pPr>
        <w:pStyle w:val="Heading1"/>
        <w:jc w:val="both"/>
      </w:pPr>
      <w:bookmarkStart w:id="13" w:name="_Toc196746735"/>
      <w:r>
        <w:lastRenderedPageBreak/>
        <w:t>Metric 6 - The percentage of staff who experienced harassment, bullying or abuse from other staff</w:t>
      </w:r>
      <w:bookmarkEnd w:id="13"/>
    </w:p>
    <w:p w14:paraId="33C69216" w14:textId="08E2BA72" w:rsidR="00036217" w:rsidRDefault="00570384" w:rsidP="6EAAB41B">
      <w:pPr>
        <w:jc w:val="both"/>
      </w:pPr>
      <w:r>
        <w:t xml:space="preserve">The percentage of </w:t>
      </w:r>
      <w:r w:rsidR="00DE6D7C" w:rsidRPr="00DE6D7C">
        <w:t>staff from ethnically diverse backgrounds</w:t>
      </w:r>
      <w:r w:rsidR="00DE6D7C">
        <w:t xml:space="preserve"> </w:t>
      </w:r>
      <w:r>
        <w:t>reporting harassment, bullying, or abuse from colleagues in the past 12 months has decreased to 27.22% in 2024</w:t>
      </w:r>
      <w:r w:rsidR="00DE6D7C">
        <w:t xml:space="preserve"> </w:t>
      </w:r>
      <w:r>
        <w:t xml:space="preserve">a reduction of 2.7 percentage points compared to the previous year. For </w:t>
      </w:r>
      <w:r w:rsidR="00DE6D7C" w:rsidRPr="00DE6D7C">
        <w:t xml:space="preserve">staff from </w:t>
      </w:r>
      <w:r w:rsidR="00DE6D7C">
        <w:t>white</w:t>
      </w:r>
      <w:r w:rsidR="00DE6D7C" w:rsidRPr="00DE6D7C">
        <w:t xml:space="preserve"> background</w:t>
      </w:r>
      <w:r w:rsidR="00DE6D7C">
        <w:t>s</w:t>
      </w:r>
      <w:r>
        <w:t>, the rate stands at 20.35%, reflecting a smaller decrease of</w:t>
      </w:r>
      <w:r w:rsidR="000D2B48">
        <w:t xml:space="preserve"> </w:t>
      </w:r>
      <w:r>
        <w:t>percentage points since 2023</w:t>
      </w:r>
      <w:r>
        <w:br/>
      </w:r>
      <w:r w:rsidR="000303C9">
        <w:rPr>
          <w:noProof/>
        </w:rPr>
        <w:drawing>
          <wp:inline distT="0" distB="0" distL="0" distR="0" wp14:anchorId="3BF27836" wp14:editId="06AD2BB4">
            <wp:extent cx="5731510" cy="2070100"/>
            <wp:effectExtent l="0" t="0" r="2540" b="6350"/>
            <wp:docPr id="2019298140" name="Picture 1" descr="see table 2 for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2070100"/>
                    </a:xfrm>
                    <a:prstGeom prst="rect">
                      <a:avLst/>
                    </a:prstGeom>
                  </pic:spPr>
                </pic:pic>
              </a:graphicData>
            </a:graphic>
          </wp:inline>
        </w:drawing>
      </w:r>
    </w:p>
    <w:p w14:paraId="52835ABB" w14:textId="2E42D486" w:rsidR="00036217" w:rsidRDefault="00BF6F3D" w:rsidP="6EAAB41B">
      <w:pPr>
        <w:jc w:val="both"/>
      </w:pPr>
      <w:r>
        <w:t xml:space="preserve">Table </w:t>
      </w:r>
      <w:r w:rsidR="00A12842">
        <w:t>2</w:t>
      </w:r>
      <w:r>
        <w:t>: Workforce Race Equality Data for Metric 6 from 2020 to 2024.</w:t>
      </w:r>
    </w:p>
    <w:tbl>
      <w:tblPr>
        <w:tblStyle w:val="TableGrid"/>
        <w:tblW w:w="0" w:type="auto"/>
        <w:tblLook w:val="04A0" w:firstRow="1" w:lastRow="0" w:firstColumn="1" w:lastColumn="0" w:noHBand="0" w:noVBand="1"/>
      </w:tblPr>
      <w:tblGrid>
        <w:gridCol w:w="4036"/>
        <w:gridCol w:w="996"/>
        <w:gridCol w:w="996"/>
        <w:gridCol w:w="996"/>
        <w:gridCol w:w="996"/>
        <w:gridCol w:w="996"/>
      </w:tblGrid>
      <w:tr w:rsidR="00B7308E" w14:paraId="4FF8E27A" w14:textId="77777777" w:rsidTr="6EAAB41B">
        <w:tc>
          <w:tcPr>
            <w:tcW w:w="4106" w:type="dxa"/>
          </w:tcPr>
          <w:p w14:paraId="412F002B" w14:textId="31F0AA18" w:rsidR="00B7308E" w:rsidRPr="00201911" w:rsidRDefault="004554BF" w:rsidP="6EAAB41B">
            <w:pPr>
              <w:jc w:val="both"/>
              <w:rPr>
                <w:b/>
                <w:bCs/>
              </w:rPr>
            </w:pPr>
            <w:bookmarkStart w:id="14" w:name="_Hlk195539498"/>
            <w:r w:rsidRPr="6EAAB41B">
              <w:rPr>
                <w:b/>
                <w:bCs/>
              </w:rPr>
              <w:t>Staff group</w:t>
            </w:r>
          </w:p>
        </w:tc>
        <w:tc>
          <w:tcPr>
            <w:tcW w:w="992" w:type="dxa"/>
          </w:tcPr>
          <w:p w14:paraId="4326398D" w14:textId="517FF87A" w:rsidR="00B7308E" w:rsidRPr="00201911" w:rsidRDefault="00516CE6" w:rsidP="6EAAB41B">
            <w:pPr>
              <w:jc w:val="both"/>
              <w:rPr>
                <w:b/>
                <w:bCs/>
              </w:rPr>
            </w:pPr>
            <w:r w:rsidRPr="6EAAB41B">
              <w:rPr>
                <w:b/>
                <w:bCs/>
              </w:rPr>
              <w:t>2020</w:t>
            </w:r>
          </w:p>
        </w:tc>
        <w:tc>
          <w:tcPr>
            <w:tcW w:w="993" w:type="dxa"/>
          </w:tcPr>
          <w:p w14:paraId="2C7ABE73" w14:textId="16609B11" w:rsidR="00B7308E" w:rsidRPr="00201911" w:rsidRDefault="00516CE6" w:rsidP="6EAAB41B">
            <w:pPr>
              <w:jc w:val="both"/>
              <w:rPr>
                <w:b/>
                <w:bCs/>
              </w:rPr>
            </w:pPr>
            <w:r w:rsidRPr="6EAAB41B">
              <w:rPr>
                <w:b/>
                <w:bCs/>
              </w:rPr>
              <w:t>2021</w:t>
            </w:r>
          </w:p>
        </w:tc>
        <w:tc>
          <w:tcPr>
            <w:tcW w:w="992" w:type="dxa"/>
          </w:tcPr>
          <w:p w14:paraId="7BE90EA7" w14:textId="05AC2301" w:rsidR="00B7308E" w:rsidRPr="00201911" w:rsidRDefault="00516CE6" w:rsidP="6EAAB41B">
            <w:pPr>
              <w:jc w:val="both"/>
              <w:rPr>
                <w:b/>
                <w:bCs/>
              </w:rPr>
            </w:pPr>
            <w:r w:rsidRPr="6EAAB41B">
              <w:rPr>
                <w:b/>
                <w:bCs/>
              </w:rPr>
              <w:t>2022</w:t>
            </w:r>
          </w:p>
        </w:tc>
        <w:tc>
          <w:tcPr>
            <w:tcW w:w="992" w:type="dxa"/>
          </w:tcPr>
          <w:p w14:paraId="36E40472" w14:textId="1B37C494" w:rsidR="00B7308E" w:rsidRPr="00201911" w:rsidRDefault="00516CE6" w:rsidP="6EAAB41B">
            <w:pPr>
              <w:jc w:val="both"/>
              <w:rPr>
                <w:b/>
                <w:bCs/>
              </w:rPr>
            </w:pPr>
            <w:r w:rsidRPr="6EAAB41B">
              <w:rPr>
                <w:b/>
                <w:bCs/>
              </w:rPr>
              <w:t>2023</w:t>
            </w:r>
          </w:p>
        </w:tc>
        <w:tc>
          <w:tcPr>
            <w:tcW w:w="941" w:type="dxa"/>
          </w:tcPr>
          <w:p w14:paraId="648B52EB" w14:textId="565CF632" w:rsidR="00B7308E" w:rsidRPr="00201911" w:rsidRDefault="00516CE6" w:rsidP="6EAAB41B">
            <w:pPr>
              <w:jc w:val="both"/>
              <w:rPr>
                <w:b/>
                <w:bCs/>
              </w:rPr>
            </w:pPr>
            <w:r w:rsidRPr="6EAAB41B">
              <w:rPr>
                <w:b/>
                <w:bCs/>
              </w:rPr>
              <w:t>2024</w:t>
            </w:r>
          </w:p>
        </w:tc>
      </w:tr>
      <w:tr w:rsidR="00516CE6" w14:paraId="7C68D505" w14:textId="77777777" w:rsidTr="6EAAB41B">
        <w:tc>
          <w:tcPr>
            <w:tcW w:w="4106" w:type="dxa"/>
          </w:tcPr>
          <w:p w14:paraId="7225D332" w14:textId="0F91EE79" w:rsidR="00516CE6" w:rsidRDefault="004554BF" w:rsidP="6EAAB41B">
            <w:pPr>
              <w:jc w:val="both"/>
            </w:pPr>
            <w:r>
              <w:t>White staff DGFT</w:t>
            </w:r>
          </w:p>
        </w:tc>
        <w:tc>
          <w:tcPr>
            <w:tcW w:w="992" w:type="dxa"/>
          </w:tcPr>
          <w:p w14:paraId="30241EB3" w14:textId="2932FB9C" w:rsidR="00516CE6" w:rsidRDefault="000303C9" w:rsidP="6EAAB41B">
            <w:pPr>
              <w:jc w:val="both"/>
            </w:pPr>
            <w:r>
              <w:t>25.71%</w:t>
            </w:r>
          </w:p>
        </w:tc>
        <w:tc>
          <w:tcPr>
            <w:tcW w:w="993" w:type="dxa"/>
          </w:tcPr>
          <w:p w14:paraId="74BA847A" w14:textId="6A365451" w:rsidR="00516CE6" w:rsidRDefault="000303C9" w:rsidP="6EAAB41B">
            <w:pPr>
              <w:jc w:val="both"/>
            </w:pPr>
            <w:r>
              <w:t>19.67%</w:t>
            </w:r>
          </w:p>
        </w:tc>
        <w:tc>
          <w:tcPr>
            <w:tcW w:w="992" w:type="dxa"/>
          </w:tcPr>
          <w:p w14:paraId="32793927" w14:textId="6866CADA" w:rsidR="00516CE6" w:rsidRDefault="000303C9" w:rsidP="6EAAB41B">
            <w:pPr>
              <w:jc w:val="both"/>
            </w:pPr>
            <w:r>
              <w:t>20.26%</w:t>
            </w:r>
          </w:p>
        </w:tc>
        <w:tc>
          <w:tcPr>
            <w:tcW w:w="992" w:type="dxa"/>
          </w:tcPr>
          <w:p w14:paraId="6F925852" w14:textId="7EF39C71" w:rsidR="00516CE6" w:rsidRDefault="000303C9" w:rsidP="6EAAB41B">
            <w:pPr>
              <w:jc w:val="both"/>
            </w:pPr>
            <w:r>
              <w:t>20.57%</w:t>
            </w:r>
          </w:p>
        </w:tc>
        <w:tc>
          <w:tcPr>
            <w:tcW w:w="941" w:type="dxa"/>
          </w:tcPr>
          <w:p w14:paraId="5C5322BF" w14:textId="6A3AFE43" w:rsidR="00516CE6" w:rsidRDefault="000303C9" w:rsidP="6EAAB41B">
            <w:pPr>
              <w:jc w:val="both"/>
            </w:pPr>
            <w:r>
              <w:t>20.35%</w:t>
            </w:r>
          </w:p>
        </w:tc>
      </w:tr>
      <w:tr w:rsidR="00B7308E" w14:paraId="66F05860" w14:textId="77777777" w:rsidTr="6EAAB41B">
        <w:tc>
          <w:tcPr>
            <w:tcW w:w="4106" w:type="dxa"/>
          </w:tcPr>
          <w:p w14:paraId="1A154BBF" w14:textId="77A636B4" w:rsidR="00B7308E" w:rsidRDefault="004554BF" w:rsidP="6EAAB41B">
            <w:pPr>
              <w:jc w:val="both"/>
            </w:pPr>
            <w:r>
              <w:t>All other ethnic groups DGFT</w:t>
            </w:r>
          </w:p>
        </w:tc>
        <w:tc>
          <w:tcPr>
            <w:tcW w:w="992" w:type="dxa"/>
          </w:tcPr>
          <w:p w14:paraId="3E07A7AB" w14:textId="56C15C18" w:rsidR="00B7308E" w:rsidRDefault="00F06AE2" w:rsidP="6EAAB41B">
            <w:pPr>
              <w:jc w:val="both"/>
            </w:pPr>
            <w:r>
              <w:t>32.78%</w:t>
            </w:r>
          </w:p>
        </w:tc>
        <w:tc>
          <w:tcPr>
            <w:tcW w:w="993" w:type="dxa"/>
          </w:tcPr>
          <w:p w14:paraId="46B81753" w14:textId="7BEE806C" w:rsidR="00B7308E" w:rsidRDefault="00F06AE2" w:rsidP="6EAAB41B">
            <w:pPr>
              <w:jc w:val="both"/>
            </w:pPr>
            <w:r>
              <w:t>26.76%</w:t>
            </w:r>
          </w:p>
        </w:tc>
        <w:tc>
          <w:tcPr>
            <w:tcW w:w="992" w:type="dxa"/>
          </w:tcPr>
          <w:p w14:paraId="1F639A94" w14:textId="46A1456B" w:rsidR="00B7308E" w:rsidRDefault="00F06AE2" w:rsidP="6EAAB41B">
            <w:pPr>
              <w:jc w:val="both"/>
            </w:pPr>
            <w:r>
              <w:t>28.79%</w:t>
            </w:r>
          </w:p>
        </w:tc>
        <w:tc>
          <w:tcPr>
            <w:tcW w:w="992" w:type="dxa"/>
          </w:tcPr>
          <w:p w14:paraId="4B2DE7EC" w14:textId="1E69ED80" w:rsidR="00B7308E" w:rsidRDefault="00F06AE2" w:rsidP="6EAAB41B">
            <w:pPr>
              <w:jc w:val="both"/>
            </w:pPr>
            <w:r>
              <w:t>29.92%</w:t>
            </w:r>
          </w:p>
        </w:tc>
        <w:tc>
          <w:tcPr>
            <w:tcW w:w="941" w:type="dxa"/>
          </w:tcPr>
          <w:p w14:paraId="3B271F81" w14:textId="54B81FC7" w:rsidR="00B7308E" w:rsidRDefault="00F06AE2" w:rsidP="6EAAB41B">
            <w:pPr>
              <w:jc w:val="both"/>
            </w:pPr>
            <w:r>
              <w:t>27.22%</w:t>
            </w:r>
          </w:p>
        </w:tc>
      </w:tr>
      <w:tr w:rsidR="00B7308E" w14:paraId="06ECC776" w14:textId="77777777" w:rsidTr="6EAAB41B">
        <w:tc>
          <w:tcPr>
            <w:tcW w:w="4106" w:type="dxa"/>
          </w:tcPr>
          <w:p w14:paraId="2D7B43C7" w14:textId="3749F24D" w:rsidR="00B7308E" w:rsidRDefault="004554BF" w:rsidP="6EAAB41B">
            <w:pPr>
              <w:jc w:val="both"/>
            </w:pPr>
            <w:r>
              <w:t>White staff average</w:t>
            </w:r>
          </w:p>
        </w:tc>
        <w:tc>
          <w:tcPr>
            <w:tcW w:w="992" w:type="dxa"/>
          </w:tcPr>
          <w:p w14:paraId="6CE3E828" w14:textId="48A3AC18" w:rsidR="00B7308E" w:rsidRDefault="00F06AE2" w:rsidP="6EAAB41B">
            <w:pPr>
              <w:jc w:val="both"/>
            </w:pPr>
            <w:r>
              <w:t>24.37%</w:t>
            </w:r>
          </w:p>
        </w:tc>
        <w:tc>
          <w:tcPr>
            <w:tcW w:w="993" w:type="dxa"/>
          </w:tcPr>
          <w:p w14:paraId="7E4E2F94" w14:textId="1E4C9B90" w:rsidR="00B7308E" w:rsidRDefault="00F06AE2" w:rsidP="6EAAB41B">
            <w:pPr>
              <w:jc w:val="both"/>
            </w:pPr>
            <w:r>
              <w:t>23.65%</w:t>
            </w:r>
          </w:p>
        </w:tc>
        <w:tc>
          <w:tcPr>
            <w:tcW w:w="992" w:type="dxa"/>
          </w:tcPr>
          <w:p w14:paraId="18843415" w14:textId="0ACE6117" w:rsidR="00B7308E" w:rsidRDefault="00F06AE2" w:rsidP="6EAAB41B">
            <w:pPr>
              <w:jc w:val="both"/>
            </w:pPr>
            <w:r>
              <w:t>23.</w:t>
            </w:r>
            <w:r w:rsidR="004B0E7A">
              <w:t>25%</w:t>
            </w:r>
          </w:p>
        </w:tc>
        <w:tc>
          <w:tcPr>
            <w:tcW w:w="992" w:type="dxa"/>
          </w:tcPr>
          <w:p w14:paraId="22CED216" w14:textId="2FE876DE" w:rsidR="00B7308E" w:rsidRDefault="004B0E7A" w:rsidP="6EAAB41B">
            <w:pPr>
              <w:jc w:val="both"/>
            </w:pPr>
            <w:r>
              <w:t>22.12%</w:t>
            </w:r>
          </w:p>
        </w:tc>
        <w:tc>
          <w:tcPr>
            <w:tcW w:w="941" w:type="dxa"/>
          </w:tcPr>
          <w:p w14:paraId="735E6244" w14:textId="3B31C737" w:rsidR="00B7308E" w:rsidRDefault="004B0E7A" w:rsidP="6EAAB41B">
            <w:pPr>
              <w:jc w:val="both"/>
            </w:pPr>
            <w:r>
              <w:t>21.53%</w:t>
            </w:r>
          </w:p>
        </w:tc>
      </w:tr>
      <w:tr w:rsidR="00B7308E" w14:paraId="74CDCBC7" w14:textId="77777777" w:rsidTr="6EAAB41B">
        <w:tc>
          <w:tcPr>
            <w:tcW w:w="4106" w:type="dxa"/>
          </w:tcPr>
          <w:p w14:paraId="44ACBDFA" w14:textId="1B8E1E06" w:rsidR="00B7308E" w:rsidRDefault="005D6269" w:rsidP="6EAAB41B">
            <w:pPr>
              <w:jc w:val="both"/>
            </w:pPr>
            <w:r>
              <w:t>All other ethnic groups average</w:t>
            </w:r>
          </w:p>
        </w:tc>
        <w:tc>
          <w:tcPr>
            <w:tcW w:w="992" w:type="dxa"/>
          </w:tcPr>
          <w:p w14:paraId="3200FDEE" w14:textId="03E57539" w:rsidR="00B7308E" w:rsidRDefault="004B0E7A" w:rsidP="6EAAB41B">
            <w:pPr>
              <w:jc w:val="both"/>
            </w:pPr>
            <w:r>
              <w:t>29.07%</w:t>
            </w:r>
          </w:p>
        </w:tc>
        <w:tc>
          <w:tcPr>
            <w:tcW w:w="993" w:type="dxa"/>
          </w:tcPr>
          <w:p w14:paraId="6B1A72B1" w14:textId="76106007" w:rsidR="00B7308E" w:rsidRDefault="004B0E7A" w:rsidP="6EAAB41B">
            <w:pPr>
              <w:jc w:val="both"/>
            </w:pPr>
            <w:r>
              <w:t>28.53%</w:t>
            </w:r>
          </w:p>
        </w:tc>
        <w:tc>
          <w:tcPr>
            <w:tcW w:w="992" w:type="dxa"/>
          </w:tcPr>
          <w:p w14:paraId="70AEEB55" w14:textId="16C256D7" w:rsidR="00B7308E" w:rsidRDefault="004B0E7A" w:rsidP="6EAAB41B">
            <w:pPr>
              <w:jc w:val="both"/>
            </w:pPr>
            <w:r>
              <w:t>28.81%</w:t>
            </w:r>
          </w:p>
        </w:tc>
        <w:tc>
          <w:tcPr>
            <w:tcW w:w="992" w:type="dxa"/>
          </w:tcPr>
          <w:p w14:paraId="0186FF9D" w14:textId="51982B0A" w:rsidR="00B7308E" w:rsidRDefault="004B0E7A" w:rsidP="6EAAB41B">
            <w:pPr>
              <w:jc w:val="both"/>
            </w:pPr>
            <w:r>
              <w:t>25.16%</w:t>
            </w:r>
          </w:p>
        </w:tc>
        <w:tc>
          <w:tcPr>
            <w:tcW w:w="941" w:type="dxa"/>
          </w:tcPr>
          <w:p w14:paraId="3308D485" w14:textId="17911601" w:rsidR="00B7308E" w:rsidRDefault="004B0E7A" w:rsidP="6EAAB41B">
            <w:pPr>
              <w:jc w:val="both"/>
            </w:pPr>
            <w:r>
              <w:t>24.89%</w:t>
            </w:r>
          </w:p>
        </w:tc>
      </w:tr>
      <w:tr w:rsidR="005D6269" w14:paraId="626CCB4E" w14:textId="77777777" w:rsidTr="6EAAB41B">
        <w:tc>
          <w:tcPr>
            <w:tcW w:w="4106" w:type="dxa"/>
          </w:tcPr>
          <w:p w14:paraId="401C435E" w14:textId="792EA9C2" w:rsidR="005D6269" w:rsidRDefault="005D6269" w:rsidP="6EAAB41B">
            <w:pPr>
              <w:jc w:val="both"/>
            </w:pPr>
            <w:r>
              <w:t>White staff responses</w:t>
            </w:r>
          </w:p>
        </w:tc>
        <w:tc>
          <w:tcPr>
            <w:tcW w:w="992" w:type="dxa"/>
          </w:tcPr>
          <w:p w14:paraId="1751354F" w14:textId="6649D3FA" w:rsidR="005D6269" w:rsidRDefault="00BF6F3D" w:rsidP="6EAAB41B">
            <w:pPr>
              <w:jc w:val="both"/>
            </w:pPr>
            <w:r>
              <w:t>1797</w:t>
            </w:r>
          </w:p>
        </w:tc>
        <w:tc>
          <w:tcPr>
            <w:tcW w:w="993" w:type="dxa"/>
          </w:tcPr>
          <w:p w14:paraId="2176C81B" w14:textId="79C99EC4" w:rsidR="005D6269" w:rsidRDefault="00BF6F3D" w:rsidP="6EAAB41B">
            <w:pPr>
              <w:jc w:val="both"/>
            </w:pPr>
            <w:r>
              <w:t>2451</w:t>
            </w:r>
          </w:p>
        </w:tc>
        <w:tc>
          <w:tcPr>
            <w:tcW w:w="992" w:type="dxa"/>
          </w:tcPr>
          <w:p w14:paraId="64E77452" w14:textId="72A94550" w:rsidR="005D6269" w:rsidRDefault="00BF6F3D" w:rsidP="6EAAB41B">
            <w:pPr>
              <w:jc w:val="both"/>
            </w:pPr>
            <w:r>
              <w:t>2152</w:t>
            </w:r>
          </w:p>
        </w:tc>
        <w:tc>
          <w:tcPr>
            <w:tcW w:w="992" w:type="dxa"/>
          </w:tcPr>
          <w:p w14:paraId="1E6656B1" w14:textId="75BDB3A3" w:rsidR="005D6269" w:rsidRDefault="00BF6F3D" w:rsidP="6EAAB41B">
            <w:pPr>
              <w:jc w:val="both"/>
            </w:pPr>
            <w:r>
              <w:t>1904</w:t>
            </w:r>
          </w:p>
        </w:tc>
        <w:tc>
          <w:tcPr>
            <w:tcW w:w="941" w:type="dxa"/>
          </w:tcPr>
          <w:p w14:paraId="5718832A" w14:textId="632E6C9A" w:rsidR="005D6269" w:rsidRDefault="00BF6F3D" w:rsidP="6EAAB41B">
            <w:pPr>
              <w:jc w:val="both"/>
            </w:pPr>
            <w:r>
              <w:t>2162</w:t>
            </w:r>
          </w:p>
        </w:tc>
      </w:tr>
      <w:tr w:rsidR="00B7308E" w14:paraId="2F0E8024" w14:textId="77777777" w:rsidTr="6EAAB41B">
        <w:tc>
          <w:tcPr>
            <w:tcW w:w="4106" w:type="dxa"/>
          </w:tcPr>
          <w:p w14:paraId="160F985B" w14:textId="06D287B9" w:rsidR="00B7308E" w:rsidRDefault="005D6269" w:rsidP="6EAAB41B">
            <w:pPr>
              <w:jc w:val="both"/>
            </w:pPr>
            <w:r>
              <w:t xml:space="preserve">All other ethnic group responses </w:t>
            </w:r>
          </w:p>
        </w:tc>
        <w:tc>
          <w:tcPr>
            <w:tcW w:w="992" w:type="dxa"/>
          </w:tcPr>
          <w:p w14:paraId="6F548B16" w14:textId="3D08F749" w:rsidR="00B7308E" w:rsidRDefault="00BF6F3D" w:rsidP="6EAAB41B">
            <w:pPr>
              <w:jc w:val="both"/>
            </w:pPr>
            <w:r>
              <w:t>299</w:t>
            </w:r>
          </w:p>
        </w:tc>
        <w:tc>
          <w:tcPr>
            <w:tcW w:w="993" w:type="dxa"/>
          </w:tcPr>
          <w:p w14:paraId="1968B565" w14:textId="51BB01F1" w:rsidR="00B7308E" w:rsidRDefault="00BF6F3D" w:rsidP="6EAAB41B">
            <w:pPr>
              <w:jc w:val="both"/>
            </w:pPr>
            <w:r>
              <w:t>482</w:t>
            </w:r>
          </w:p>
        </w:tc>
        <w:tc>
          <w:tcPr>
            <w:tcW w:w="992" w:type="dxa"/>
          </w:tcPr>
          <w:p w14:paraId="61039478" w14:textId="3C010193" w:rsidR="00B7308E" w:rsidRDefault="00BF6F3D" w:rsidP="6EAAB41B">
            <w:pPr>
              <w:jc w:val="both"/>
            </w:pPr>
            <w:r>
              <w:t>580</w:t>
            </w:r>
          </w:p>
        </w:tc>
        <w:tc>
          <w:tcPr>
            <w:tcW w:w="992" w:type="dxa"/>
          </w:tcPr>
          <w:p w14:paraId="6163A2F2" w14:textId="46A7935B" w:rsidR="00B7308E" w:rsidRDefault="00BF6F3D" w:rsidP="6EAAB41B">
            <w:pPr>
              <w:jc w:val="both"/>
            </w:pPr>
            <w:r>
              <w:t>574</w:t>
            </w:r>
          </w:p>
        </w:tc>
        <w:tc>
          <w:tcPr>
            <w:tcW w:w="941" w:type="dxa"/>
          </w:tcPr>
          <w:p w14:paraId="466F1892" w14:textId="63D76E7B" w:rsidR="00B7308E" w:rsidRDefault="00BF6F3D" w:rsidP="6EAAB41B">
            <w:pPr>
              <w:jc w:val="both"/>
            </w:pPr>
            <w:r>
              <w:t>709</w:t>
            </w:r>
          </w:p>
        </w:tc>
      </w:tr>
      <w:bookmarkEnd w:id="14"/>
    </w:tbl>
    <w:p w14:paraId="73636295" w14:textId="77777777" w:rsidR="00036217" w:rsidRDefault="00036217" w:rsidP="6EAAB41B">
      <w:pPr>
        <w:jc w:val="both"/>
      </w:pPr>
    </w:p>
    <w:p w14:paraId="27FAE752" w14:textId="541BBAEF" w:rsidR="00255098" w:rsidRDefault="00255098" w:rsidP="6EAAB41B">
      <w:pPr>
        <w:jc w:val="both"/>
      </w:pPr>
      <w:r w:rsidRPr="00255098">
        <w:t>Positive progress is being made in reducing internal bullying, though continued focus is needed to sustain improvement.</w:t>
      </w:r>
    </w:p>
    <w:p w14:paraId="4D106AF4" w14:textId="77777777" w:rsidR="000F2043" w:rsidRDefault="000F2043" w:rsidP="6EAAB41B">
      <w:pPr>
        <w:jc w:val="both"/>
      </w:pPr>
    </w:p>
    <w:p w14:paraId="27803EF5" w14:textId="77777777" w:rsidR="000F2043" w:rsidRDefault="000F2043" w:rsidP="6EAAB41B">
      <w:pPr>
        <w:jc w:val="both"/>
      </w:pPr>
    </w:p>
    <w:p w14:paraId="0803BA0A" w14:textId="71FC5F61" w:rsidR="00036217" w:rsidRDefault="008916DE" w:rsidP="6EAAB41B">
      <w:pPr>
        <w:pStyle w:val="Heading1"/>
        <w:jc w:val="both"/>
      </w:pPr>
      <w:bookmarkStart w:id="15" w:name="_Toc196746736"/>
      <w:r>
        <w:lastRenderedPageBreak/>
        <w:t>M</w:t>
      </w:r>
      <w:r w:rsidR="00036217">
        <w:t>etric 7 - The percentage of staff who believed that the trust provided equal opportunities for career progression or promotion</w:t>
      </w:r>
      <w:bookmarkEnd w:id="15"/>
    </w:p>
    <w:p w14:paraId="1F0F8E7A" w14:textId="37A0E520" w:rsidR="00B348B3" w:rsidRPr="00B348B3" w:rsidRDefault="00B348B3" w:rsidP="6EAAB41B">
      <w:pPr>
        <w:jc w:val="both"/>
      </w:pPr>
      <w:r>
        <w:t xml:space="preserve">The percentage of staff from ethnically diverse backgrounds who believe the Trust provides equal opportunities for career progression or promotion remains unchanged from 2023, at 51.8%. A disparity persists between </w:t>
      </w:r>
      <w:r w:rsidR="000D2B48" w:rsidRPr="000D2B48">
        <w:t>staff from ethnically diverse backgrounds</w:t>
      </w:r>
      <w:r w:rsidR="000D2B48">
        <w:t xml:space="preserve"> </w:t>
      </w:r>
      <w:r>
        <w:t>and</w:t>
      </w:r>
      <w:r w:rsidR="000D2B48">
        <w:t xml:space="preserve"> staff from</w:t>
      </w:r>
      <w:r>
        <w:t xml:space="preserve"> white </w:t>
      </w:r>
      <w:r w:rsidR="000D2B48">
        <w:t>backgrounds</w:t>
      </w:r>
      <w:r>
        <w:t>, with a gap of 10.3 percentage points (51.8% vs. 62.1%). However, survey responses from</w:t>
      </w:r>
      <w:r w:rsidR="00C743CA">
        <w:t xml:space="preserve"> </w:t>
      </w:r>
      <w:r w:rsidR="00C743CA" w:rsidRPr="00C743CA">
        <w:t>staff from ethnically diverse backgrounds</w:t>
      </w:r>
      <w:r>
        <w:t xml:space="preserve"> have shown a notable improvement over the past five years, indicating a gradual positive shift in overall experience.</w:t>
      </w:r>
    </w:p>
    <w:p w14:paraId="6BB48EB4" w14:textId="2CD3B43F" w:rsidR="00036217" w:rsidRDefault="002C7F8E" w:rsidP="6EAAB41B">
      <w:pPr>
        <w:jc w:val="both"/>
      </w:pPr>
      <w:r>
        <w:rPr>
          <w:noProof/>
        </w:rPr>
        <w:drawing>
          <wp:inline distT="0" distB="0" distL="0" distR="0" wp14:anchorId="50B6AEE0" wp14:editId="04B09E15">
            <wp:extent cx="5731510" cy="2056130"/>
            <wp:effectExtent l="0" t="0" r="2540" b="1270"/>
            <wp:docPr id="2129445199" name="Picture 1" descr="See table 3 for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2056130"/>
                    </a:xfrm>
                    <a:prstGeom prst="rect">
                      <a:avLst/>
                    </a:prstGeom>
                  </pic:spPr>
                </pic:pic>
              </a:graphicData>
            </a:graphic>
          </wp:inline>
        </w:drawing>
      </w:r>
    </w:p>
    <w:p w14:paraId="5A5BBB3B" w14:textId="3B063D4A" w:rsidR="00BF6F3D" w:rsidRDefault="00BF6F3D" w:rsidP="6EAAB41B">
      <w:pPr>
        <w:jc w:val="both"/>
      </w:pPr>
      <w:r>
        <w:t xml:space="preserve">Table </w:t>
      </w:r>
      <w:r w:rsidR="00A12842">
        <w:t>3</w:t>
      </w:r>
      <w:r>
        <w:t>: Workforce Race Equality Data for Metric 7 from 2020 to 2024.</w:t>
      </w:r>
    </w:p>
    <w:tbl>
      <w:tblPr>
        <w:tblStyle w:val="TableGrid"/>
        <w:tblW w:w="0" w:type="auto"/>
        <w:tblLook w:val="04A0" w:firstRow="1" w:lastRow="0" w:firstColumn="1" w:lastColumn="0" w:noHBand="0" w:noVBand="1"/>
      </w:tblPr>
      <w:tblGrid>
        <w:gridCol w:w="4036"/>
        <w:gridCol w:w="996"/>
        <w:gridCol w:w="996"/>
        <w:gridCol w:w="996"/>
        <w:gridCol w:w="996"/>
        <w:gridCol w:w="996"/>
      </w:tblGrid>
      <w:tr w:rsidR="002C7F8E" w14:paraId="2E9697E5" w14:textId="77777777" w:rsidTr="0000625D">
        <w:tc>
          <w:tcPr>
            <w:tcW w:w="4036" w:type="dxa"/>
          </w:tcPr>
          <w:p w14:paraId="42ABF197" w14:textId="77777777" w:rsidR="00201911" w:rsidRPr="00201911" w:rsidRDefault="00201911" w:rsidP="6EAAB41B">
            <w:pPr>
              <w:jc w:val="both"/>
              <w:rPr>
                <w:b/>
                <w:bCs/>
              </w:rPr>
            </w:pPr>
            <w:r w:rsidRPr="6EAAB41B">
              <w:rPr>
                <w:b/>
                <w:bCs/>
              </w:rPr>
              <w:t>Staff group</w:t>
            </w:r>
          </w:p>
        </w:tc>
        <w:tc>
          <w:tcPr>
            <w:tcW w:w="996" w:type="dxa"/>
          </w:tcPr>
          <w:p w14:paraId="596016D4" w14:textId="77777777" w:rsidR="00201911" w:rsidRPr="00201911" w:rsidRDefault="00201911" w:rsidP="6EAAB41B">
            <w:pPr>
              <w:jc w:val="both"/>
              <w:rPr>
                <w:b/>
                <w:bCs/>
              </w:rPr>
            </w:pPr>
            <w:r w:rsidRPr="6EAAB41B">
              <w:rPr>
                <w:b/>
                <w:bCs/>
              </w:rPr>
              <w:t>2020</w:t>
            </w:r>
          </w:p>
        </w:tc>
        <w:tc>
          <w:tcPr>
            <w:tcW w:w="996" w:type="dxa"/>
          </w:tcPr>
          <w:p w14:paraId="5658AF36" w14:textId="77777777" w:rsidR="00201911" w:rsidRPr="00201911" w:rsidRDefault="00201911" w:rsidP="6EAAB41B">
            <w:pPr>
              <w:jc w:val="both"/>
              <w:rPr>
                <w:b/>
                <w:bCs/>
              </w:rPr>
            </w:pPr>
            <w:r w:rsidRPr="6EAAB41B">
              <w:rPr>
                <w:b/>
                <w:bCs/>
              </w:rPr>
              <w:t>2021</w:t>
            </w:r>
          </w:p>
        </w:tc>
        <w:tc>
          <w:tcPr>
            <w:tcW w:w="996" w:type="dxa"/>
          </w:tcPr>
          <w:p w14:paraId="23468F8C" w14:textId="77777777" w:rsidR="00201911" w:rsidRPr="00201911" w:rsidRDefault="00201911" w:rsidP="6EAAB41B">
            <w:pPr>
              <w:jc w:val="both"/>
              <w:rPr>
                <w:b/>
                <w:bCs/>
              </w:rPr>
            </w:pPr>
            <w:r w:rsidRPr="6EAAB41B">
              <w:rPr>
                <w:b/>
                <w:bCs/>
              </w:rPr>
              <w:t>2022</w:t>
            </w:r>
          </w:p>
        </w:tc>
        <w:tc>
          <w:tcPr>
            <w:tcW w:w="996" w:type="dxa"/>
          </w:tcPr>
          <w:p w14:paraId="64FDBB09" w14:textId="77777777" w:rsidR="00201911" w:rsidRPr="00201911" w:rsidRDefault="00201911" w:rsidP="6EAAB41B">
            <w:pPr>
              <w:jc w:val="both"/>
              <w:rPr>
                <w:b/>
                <w:bCs/>
              </w:rPr>
            </w:pPr>
            <w:r w:rsidRPr="6EAAB41B">
              <w:rPr>
                <w:b/>
                <w:bCs/>
              </w:rPr>
              <w:t>2023</w:t>
            </w:r>
          </w:p>
        </w:tc>
        <w:tc>
          <w:tcPr>
            <w:tcW w:w="996" w:type="dxa"/>
          </w:tcPr>
          <w:p w14:paraId="74FD258D" w14:textId="77777777" w:rsidR="00201911" w:rsidRPr="00201911" w:rsidRDefault="00201911" w:rsidP="6EAAB41B">
            <w:pPr>
              <w:jc w:val="both"/>
              <w:rPr>
                <w:b/>
                <w:bCs/>
              </w:rPr>
            </w:pPr>
            <w:r w:rsidRPr="6EAAB41B">
              <w:rPr>
                <w:b/>
                <w:bCs/>
              </w:rPr>
              <w:t>2024</w:t>
            </w:r>
          </w:p>
        </w:tc>
      </w:tr>
      <w:tr w:rsidR="002C7F8E" w14:paraId="367222BC" w14:textId="77777777" w:rsidTr="0000625D">
        <w:tc>
          <w:tcPr>
            <w:tcW w:w="4036" w:type="dxa"/>
          </w:tcPr>
          <w:p w14:paraId="624E07D4" w14:textId="77777777" w:rsidR="00201911" w:rsidRDefault="00201911" w:rsidP="6EAAB41B">
            <w:pPr>
              <w:jc w:val="both"/>
            </w:pPr>
            <w:r>
              <w:t>White staff DGFT</w:t>
            </w:r>
          </w:p>
        </w:tc>
        <w:tc>
          <w:tcPr>
            <w:tcW w:w="996" w:type="dxa"/>
          </w:tcPr>
          <w:p w14:paraId="668F2F79" w14:textId="41654E9D" w:rsidR="00201911" w:rsidRDefault="002C7F8E" w:rsidP="6EAAB41B">
            <w:pPr>
              <w:jc w:val="both"/>
            </w:pPr>
            <w:r>
              <w:t>61.77%</w:t>
            </w:r>
          </w:p>
        </w:tc>
        <w:tc>
          <w:tcPr>
            <w:tcW w:w="996" w:type="dxa"/>
          </w:tcPr>
          <w:p w14:paraId="1E1D1E89" w14:textId="0BB0C80E" w:rsidR="00201911" w:rsidRDefault="002C7F8E" w:rsidP="6EAAB41B">
            <w:pPr>
              <w:jc w:val="both"/>
            </w:pPr>
            <w:r>
              <w:t>61.24%</w:t>
            </w:r>
          </w:p>
        </w:tc>
        <w:tc>
          <w:tcPr>
            <w:tcW w:w="996" w:type="dxa"/>
          </w:tcPr>
          <w:p w14:paraId="5E291E9F" w14:textId="0A2AB187" w:rsidR="00201911" w:rsidRDefault="002C7F8E" w:rsidP="6EAAB41B">
            <w:pPr>
              <w:jc w:val="both"/>
            </w:pPr>
            <w:r>
              <w:t>63.19%</w:t>
            </w:r>
          </w:p>
        </w:tc>
        <w:tc>
          <w:tcPr>
            <w:tcW w:w="996" w:type="dxa"/>
          </w:tcPr>
          <w:p w14:paraId="6A88A415" w14:textId="24E1E8FB" w:rsidR="00201911" w:rsidRDefault="00754715" w:rsidP="6EAAB41B">
            <w:pPr>
              <w:jc w:val="both"/>
            </w:pPr>
            <w:r>
              <w:t>63.13%</w:t>
            </w:r>
          </w:p>
        </w:tc>
        <w:tc>
          <w:tcPr>
            <w:tcW w:w="996" w:type="dxa"/>
          </w:tcPr>
          <w:p w14:paraId="170BB02B" w14:textId="74C24443" w:rsidR="00201911" w:rsidRDefault="00754715" w:rsidP="6EAAB41B">
            <w:pPr>
              <w:jc w:val="both"/>
            </w:pPr>
            <w:r>
              <w:t>62.15%</w:t>
            </w:r>
          </w:p>
        </w:tc>
      </w:tr>
      <w:tr w:rsidR="002C7F8E" w14:paraId="655299C1" w14:textId="77777777" w:rsidTr="0000625D">
        <w:tc>
          <w:tcPr>
            <w:tcW w:w="4036" w:type="dxa"/>
          </w:tcPr>
          <w:p w14:paraId="53AB5A37" w14:textId="77777777" w:rsidR="00201911" w:rsidRDefault="00201911" w:rsidP="6EAAB41B">
            <w:pPr>
              <w:jc w:val="both"/>
            </w:pPr>
            <w:r>
              <w:t>All other ethnic groups DGFT</w:t>
            </w:r>
          </w:p>
        </w:tc>
        <w:tc>
          <w:tcPr>
            <w:tcW w:w="996" w:type="dxa"/>
          </w:tcPr>
          <w:p w14:paraId="6FB0DA9A" w14:textId="1712E0DE" w:rsidR="00201911" w:rsidRDefault="00754715" w:rsidP="6EAAB41B">
            <w:pPr>
              <w:jc w:val="both"/>
            </w:pPr>
            <w:r>
              <w:t>44.22%</w:t>
            </w:r>
          </w:p>
        </w:tc>
        <w:tc>
          <w:tcPr>
            <w:tcW w:w="996" w:type="dxa"/>
          </w:tcPr>
          <w:p w14:paraId="6EBF31FD" w14:textId="7D3D98C0" w:rsidR="00201911" w:rsidRDefault="00754715" w:rsidP="6EAAB41B">
            <w:pPr>
              <w:jc w:val="both"/>
            </w:pPr>
            <w:r>
              <w:t>45.47%</w:t>
            </w:r>
          </w:p>
        </w:tc>
        <w:tc>
          <w:tcPr>
            <w:tcW w:w="996" w:type="dxa"/>
          </w:tcPr>
          <w:p w14:paraId="37EDB46A" w14:textId="1B014BB3" w:rsidR="00201911" w:rsidRDefault="00754715" w:rsidP="6EAAB41B">
            <w:pPr>
              <w:jc w:val="both"/>
            </w:pPr>
            <w:r>
              <w:t>47.15%</w:t>
            </w:r>
          </w:p>
        </w:tc>
        <w:tc>
          <w:tcPr>
            <w:tcW w:w="996" w:type="dxa"/>
          </w:tcPr>
          <w:p w14:paraId="352F29F0" w14:textId="4D1DCE28" w:rsidR="00201911" w:rsidRDefault="00754715" w:rsidP="6EAAB41B">
            <w:pPr>
              <w:jc w:val="both"/>
            </w:pPr>
            <w:r>
              <w:t>51.69%</w:t>
            </w:r>
          </w:p>
        </w:tc>
        <w:tc>
          <w:tcPr>
            <w:tcW w:w="996" w:type="dxa"/>
          </w:tcPr>
          <w:p w14:paraId="6D68B773" w14:textId="43215BC1" w:rsidR="00201911" w:rsidRDefault="00754715" w:rsidP="6EAAB41B">
            <w:pPr>
              <w:jc w:val="both"/>
            </w:pPr>
            <w:r>
              <w:t>51.84</w:t>
            </w:r>
            <w:r w:rsidR="00253847">
              <w:t>%</w:t>
            </w:r>
          </w:p>
        </w:tc>
      </w:tr>
      <w:tr w:rsidR="002C7F8E" w14:paraId="5E73A8CA" w14:textId="77777777" w:rsidTr="0000625D">
        <w:tc>
          <w:tcPr>
            <w:tcW w:w="4036" w:type="dxa"/>
          </w:tcPr>
          <w:p w14:paraId="2CE17F5E" w14:textId="77777777" w:rsidR="00201911" w:rsidRDefault="00201911" w:rsidP="6EAAB41B">
            <w:pPr>
              <w:jc w:val="both"/>
            </w:pPr>
            <w:r>
              <w:t>White staff average</w:t>
            </w:r>
          </w:p>
        </w:tc>
        <w:tc>
          <w:tcPr>
            <w:tcW w:w="996" w:type="dxa"/>
          </w:tcPr>
          <w:p w14:paraId="61E01575" w14:textId="63D76EFA" w:rsidR="00201911" w:rsidRDefault="00253847" w:rsidP="6EAAB41B">
            <w:pPr>
              <w:jc w:val="both"/>
            </w:pPr>
            <w:r>
              <w:t>59.39%</w:t>
            </w:r>
          </w:p>
        </w:tc>
        <w:tc>
          <w:tcPr>
            <w:tcW w:w="996" w:type="dxa"/>
          </w:tcPr>
          <w:p w14:paraId="6CA42150" w14:textId="0D528E0C" w:rsidR="00201911" w:rsidRDefault="00253847" w:rsidP="6EAAB41B">
            <w:pPr>
              <w:jc w:val="both"/>
            </w:pPr>
            <w:r>
              <w:t>58.64%</w:t>
            </w:r>
          </w:p>
        </w:tc>
        <w:tc>
          <w:tcPr>
            <w:tcW w:w="996" w:type="dxa"/>
          </w:tcPr>
          <w:p w14:paraId="6F9EE4E8" w14:textId="7AF290AA" w:rsidR="00201911" w:rsidRDefault="00253847" w:rsidP="6EAAB41B">
            <w:pPr>
              <w:jc w:val="both"/>
            </w:pPr>
            <w:r>
              <w:t>58.65%</w:t>
            </w:r>
          </w:p>
        </w:tc>
        <w:tc>
          <w:tcPr>
            <w:tcW w:w="996" w:type="dxa"/>
          </w:tcPr>
          <w:p w14:paraId="3DC09962" w14:textId="5E0F0A2E" w:rsidR="00201911" w:rsidRDefault="00253847" w:rsidP="6EAAB41B">
            <w:pPr>
              <w:jc w:val="both"/>
            </w:pPr>
            <w:r>
              <w:t>58.84%</w:t>
            </w:r>
          </w:p>
        </w:tc>
        <w:tc>
          <w:tcPr>
            <w:tcW w:w="996" w:type="dxa"/>
          </w:tcPr>
          <w:p w14:paraId="20C91D3E" w14:textId="6DA424CB" w:rsidR="00201911" w:rsidRDefault="00253847" w:rsidP="6EAAB41B">
            <w:pPr>
              <w:jc w:val="both"/>
            </w:pPr>
            <w:r>
              <w:t>58.82%</w:t>
            </w:r>
          </w:p>
        </w:tc>
      </w:tr>
      <w:tr w:rsidR="002C7F8E" w14:paraId="7CB0E4B9" w14:textId="77777777" w:rsidTr="0000625D">
        <w:tc>
          <w:tcPr>
            <w:tcW w:w="4036" w:type="dxa"/>
          </w:tcPr>
          <w:p w14:paraId="161F4259" w14:textId="77777777" w:rsidR="00201911" w:rsidRDefault="00201911" w:rsidP="6EAAB41B">
            <w:pPr>
              <w:jc w:val="both"/>
            </w:pPr>
            <w:r>
              <w:t>All other ethnic groups average</w:t>
            </w:r>
          </w:p>
        </w:tc>
        <w:tc>
          <w:tcPr>
            <w:tcW w:w="996" w:type="dxa"/>
          </w:tcPr>
          <w:p w14:paraId="48411890" w14:textId="3F41E84B" w:rsidR="00201911" w:rsidRDefault="009B4693" w:rsidP="6EAAB41B">
            <w:pPr>
              <w:jc w:val="both"/>
            </w:pPr>
            <w:r>
              <w:t>45.24%</w:t>
            </w:r>
          </w:p>
        </w:tc>
        <w:tc>
          <w:tcPr>
            <w:tcW w:w="996" w:type="dxa"/>
          </w:tcPr>
          <w:p w14:paraId="04582A0D" w14:textId="62B9B0E8" w:rsidR="00201911" w:rsidRDefault="009B4693" w:rsidP="6EAAB41B">
            <w:pPr>
              <w:jc w:val="both"/>
            </w:pPr>
            <w:r>
              <w:t>44.56%</w:t>
            </w:r>
          </w:p>
        </w:tc>
        <w:tc>
          <w:tcPr>
            <w:tcW w:w="996" w:type="dxa"/>
          </w:tcPr>
          <w:p w14:paraId="4551F11D" w14:textId="53587D0E" w:rsidR="00201911" w:rsidRDefault="009B4693" w:rsidP="6EAAB41B">
            <w:pPr>
              <w:jc w:val="both"/>
            </w:pPr>
            <w:r>
              <w:t>47.00%</w:t>
            </w:r>
          </w:p>
        </w:tc>
        <w:tc>
          <w:tcPr>
            <w:tcW w:w="996" w:type="dxa"/>
          </w:tcPr>
          <w:p w14:paraId="739BCECE" w14:textId="62DCDE34" w:rsidR="00201911" w:rsidRDefault="009B4693" w:rsidP="6EAAB41B">
            <w:pPr>
              <w:jc w:val="both"/>
            </w:pPr>
            <w:r>
              <w:t>49.64%</w:t>
            </w:r>
          </w:p>
        </w:tc>
        <w:tc>
          <w:tcPr>
            <w:tcW w:w="996" w:type="dxa"/>
          </w:tcPr>
          <w:p w14:paraId="3B59BCE8" w14:textId="22626EE2" w:rsidR="00201911" w:rsidRDefault="009B4693" w:rsidP="6EAAB41B">
            <w:pPr>
              <w:jc w:val="both"/>
            </w:pPr>
            <w:r>
              <w:t>49.70%</w:t>
            </w:r>
          </w:p>
        </w:tc>
      </w:tr>
      <w:tr w:rsidR="002C7F8E" w14:paraId="15DD4031" w14:textId="77777777" w:rsidTr="0000625D">
        <w:tc>
          <w:tcPr>
            <w:tcW w:w="4036" w:type="dxa"/>
          </w:tcPr>
          <w:p w14:paraId="2943823F" w14:textId="77777777" w:rsidR="00201911" w:rsidRDefault="00201911" w:rsidP="6EAAB41B">
            <w:pPr>
              <w:jc w:val="both"/>
            </w:pPr>
            <w:r>
              <w:t>White staff responses</w:t>
            </w:r>
          </w:p>
        </w:tc>
        <w:tc>
          <w:tcPr>
            <w:tcW w:w="996" w:type="dxa"/>
          </w:tcPr>
          <w:p w14:paraId="1DE87A3D" w14:textId="7D85433A" w:rsidR="00201911" w:rsidRDefault="00614712" w:rsidP="6EAAB41B">
            <w:pPr>
              <w:jc w:val="both"/>
            </w:pPr>
            <w:r>
              <w:t>1839</w:t>
            </w:r>
          </w:p>
        </w:tc>
        <w:tc>
          <w:tcPr>
            <w:tcW w:w="996" w:type="dxa"/>
          </w:tcPr>
          <w:p w14:paraId="7AA63758" w14:textId="739B7857" w:rsidR="00201911" w:rsidRDefault="00614712" w:rsidP="6EAAB41B">
            <w:pPr>
              <w:jc w:val="both"/>
            </w:pPr>
            <w:r>
              <w:t>2518</w:t>
            </w:r>
          </w:p>
        </w:tc>
        <w:tc>
          <w:tcPr>
            <w:tcW w:w="996" w:type="dxa"/>
          </w:tcPr>
          <w:p w14:paraId="55A62C38" w14:textId="0AC9220A" w:rsidR="00201911" w:rsidRDefault="00614712" w:rsidP="6EAAB41B">
            <w:pPr>
              <w:jc w:val="both"/>
            </w:pPr>
            <w:r>
              <w:t>2141</w:t>
            </w:r>
          </w:p>
        </w:tc>
        <w:tc>
          <w:tcPr>
            <w:tcW w:w="996" w:type="dxa"/>
          </w:tcPr>
          <w:p w14:paraId="62FB46EB" w14:textId="78AF7E61" w:rsidR="00201911" w:rsidRDefault="00614712" w:rsidP="6EAAB41B">
            <w:pPr>
              <w:jc w:val="both"/>
            </w:pPr>
            <w:r>
              <w:t>2034</w:t>
            </w:r>
          </w:p>
        </w:tc>
        <w:tc>
          <w:tcPr>
            <w:tcW w:w="996" w:type="dxa"/>
          </w:tcPr>
          <w:p w14:paraId="5CDC98C2" w14:textId="3945AF0A" w:rsidR="00201911" w:rsidRDefault="00614712" w:rsidP="6EAAB41B">
            <w:pPr>
              <w:jc w:val="both"/>
            </w:pPr>
            <w:r>
              <w:t>2156</w:t>
            </w:r>
          </w:p>
        </w:tc>
      </w:tr>
      <w:tr w:rsidR="002C7F8E" w14:paraId="17906E86" w14:textId="77777777" w:rsidTr="0000625D">
        <w:tc>
          <w:tcPr>
            <w:tcW w:w="4036" w:type="dxa"/>
          </w:tcPr>
          <w:p w14:paraId="63F458FD" w14:textId="77777777" w:rsidR="00201911" w:rsidRDefault="00201911" w:rsidP="6EAAB41B">
            <w:pPr>
              <w:jc w:val="both"/>
            </w:pPr>
            <w:r>
              <w:t xml:space="preserve">All other ethnic group responses </w:t>
            </w:r>
          </w:p>
        </w:tc>
        <w:tc>
          <w:tcPr>
            <w:tcW w:w="996" w:type="dxa"/>
          </w:tcPr>
          <w:p w14:paraId="3006BCCD" w14:textId="65BF2436" w:rsidR="00201911" w:rsidRDefault="00614712" w:rsidP="6EAAB41B">
            <w:pPr>
              <w:jc w:val="both"/>
            </w:pPr>
            <w:r>
              <w:t>303</w:t>
            </w:r>
          </w:p>
        </w:tc>
        <w:tc>
          <w:tcPr>
            <w:tcW w:w="996" w:type="dxa"/>
          </w:tcPr>
          <w:p w14:paraId="0D85C49D" w14:textId="69B8667D" w:rsidR="00201911" w:rsidRDefault="00614712" w:rsidP="6EAAB41B">
            <w:pPr>
              <w:jc w:val="both"/>
            </w:pPr>
            <w:r>
              <w:t>497</w:t>
            </w:r>
          </w:p>
        </w:tc>
        <w:tc>
          <w:tcPr>
            <w:tcW w:w="996" w:type="dxa"/>
          </w:tcPr>
          <w:p w14:paraId="5FD48117" w14:textId="1268E529" w:rsidR="00201911" w:rsidRDefault="00614712" w:rsidP="6EAAB41B">
            <w:pPr>
              <w:jc w:val="both"/>
            </w:pPr>
            <w:r>
              <w:t>579</w:t>
            </w:r>
          </w:p>
        </w:tc>
        <w:tc>
          <w:tcPr>
            <w:tcW w:w="996" w:type="dxa"/>
          </w:tcPr>
          <w:p w14:paraId="76694930" w14:textId="31578596" w:rsidR="00201911" w:rsidRDefault="00614712" w:rsidP="6EAAB41B">
            <w:pPr>
              <w:jc w:val="both"/>
            </w:pPr>
            <w:r>
              <w:t>652</w:t>
            </w:r>
          </w:p>
        </w:tc>
        <w:tc>
          <w:tcPr>
            <w:tcW w:w="996" w:type="dxa"/>
          </w:tcPr>
          <w:p w14:paraId="40299D9D" w14:textId="1398F245" w:rsidR="00201911" w:rsidRDefault="00614712" w:rsidP="6EAAB41B">
            <w:pPr>
              <w:jc w:val="both"/>
            </w:pPr>
            <w:r>
              <w:t>706</w:t>
            </w:r>
          </w:p>
        </w:tc>
      </w:tr>
    </w:tbl>
    <w:p w14:paraId="1486C871" w14:textId="77777777" w:rsidR="0000625D" w:rsidRDefault="0000625D" w:rsidP="6EAAB41B">
      <w:pPr>
        <w:jc w:val="both"/>
      </w:pPr>
    </w:p>
    <w:p w14:paraId="4C9FB8D3" w14:textId="364013B6" w:rsidR="00036217" w:rsidRDefault="0000625D" w:rsidP="6EAAB41B">
      <w:pPr>
        <w:jc w:val="both"/>
      </w:pPr>
      <w:r w:rsidRPr="0000625D">
        <w:t>Many</w:t>
      </w:r>
      <w:r>
        <w:t xml:space="preserve"> staff from</w:t>
      </w:r>
      <w:r w:rsidRPr="0000625D">
        <w:t xml:space="preserve"> ethnically diverse </w:t>
      </w:r>
      <w:r>
        <w:t>backgrounds</w:t>
      </w:r>
      <w:r w:rsidRPr="0000625D">
        <w:t xml:space="preserve"> still feel disadvantaged in career progression, pointing to a need for more visible and equitable advancement pathways.</w:t>
      </w:r>
    </w:p>
    <w:p w14:paraId="0A250E24" w14:textId="77777777" w:rsidR="00255098" w:rsidRDefault="00255098" w:rsidP="6EAAB41B">
      <w:pPr>
        <w:jc w:val="both"/>
      </w:pPr>
    </w:p>
    <w:p w14:paraId="39863BEF" w14:textId="19F1A7EB" w:rsidR="00036217" w:rsidRDefault="00036217" w:rsidP="6EAAB41B">
      <w:pPr>
        <w:pStyle w:val="Heading1"/>
        <w:jc w:val="both"/>
      </w:pPr>
      <w:bookmarkStart w:id="16" w:name="_Toc196746737"/>
      <w:r>
        <w:lastRenderedPageBreak/>
        <w:t>Metric 8 - The percentage of staff who personally experienced discrimination at work from a manager, team leader or other colleagues</w:t>
      </w:r>
      <w:bookmarkEnd w:id="16"/>
    </w:p>
    <w:p w14:paraId="39CD83DB" w14:textId="083840A8" w:rsidR="00E55AF8" w:rsidRPr="00E55AF8" w:rsidRDefault="00E55AF8" w:rsidP="6EAAB41B">
      <w:pPr>
        <w:jc w:val="both"/>
      </w:pPr>
      <w:r>
        <w:t>The percentage of staff reporting discrimination from a manager, team leader, or other colleagues has decreased slightly across all groups. Among</w:t>
      </w:r>
      <w:r w:rsidR="00C743CA">
        <w:t xml:space="preserve"> </w:t>
      </w:r>
      <w:r w:rsidR="00C743CA" w:rsidRPr="00C743CA">
        <w:t>staff from ethnically diverse backgrounds</w:t>
      </w:r>
      <w:r>
        <w:t>, the rate stands at 18.3% for 202</w:t>
      </w:r>
      <w:r w:rsidR="006D6BB1">
        <w:t xml:space="preserve">4 </w:t>
      </w:r>
      <w:r>
        <w:t>a 0.5 percentage point reduction</w:t>
      </w:r>
      <w:r w:rsidR="006D6BB1">
        <w:t xml:space="preserve"> </w:t>
      </w:r>
      <w:r>
        <w:t>while for</w:t>
      </w:r>
      <w:r w:rsidR="007B28EB">
        <w:t xml:space="preserve"> staff from</w:t>
      </w:r>
      <w:r>
        <w:t xml:space="preserve"> white</w:t>
      </w:r>
      <w:r w:rsidR="007B28EB">
        <w:t xml:space="preserve"> backgrounds</w:t>
      </w:r>
      <w:r>
        <w:t>, it is 5.7% in 2024, reflecting a 0.6 percentage point decrease. The disparity between the two groups remains consistent at 12.6 percentage points.</w:t>
      </w:r>
    </w:p>
    <w:p w14:paraId="5DC4F10A" w14:textId="7DA0AC1D" w:rsidR="00036217" w:rsidRDefault="00A26C4E" w:rsidP="6EAAB41B">
      <w:pPr>
        <w:jc w:val="both"/>
      </w:pPr>
      <w:r>
        <w:rPr>
          <w:noProof/>
        </w:rPr>
        <w:drawing>
          <wp:inline distT="0" distB="0" distL="0" distR="0" wp14:anchorId="17F7C5AE" wp14:editId="202D4B5B">
            <wp:extent cx="5731510" cy="2044700"/>
            <wp:effectExtent l="0" t="0" r="2540" b="0"/>
            <wp:docPr id="1550701719" name="Picture 1" descr="See table 4 for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2044700"/>
                    </a:xfrm>
                    <a:prstGeom prst="rect">
                      <a:avLst/>
                    </a:prstGeom>
                  </pic:spPr>
                </pic:pic>
              </a:graphicData>
            </a:graphic>
          </wp:inline>
        </w:drawing>
      </w:r>
    </w:p>
    <w:p w14:paraId="78DB782A" w14:textId="77777777" w:rsidR="00BF6F3D" w:rsidRDefault="00BF6F3D" w:rsidP="6EAAB41B">
      <w:pPr>
        <w:jc w:val="both"/>
      </w:pPr>
    </w:p>
    <w:p w14:paraId="40041072" w14:textId="76AA4CEE" w:rsidR="00BF6F3D" w:rsidRDefault="00BF6F3D" w:rsidP="6EAAB41B">
      <w:pPr>
        <w:jc w:val="both"/>
      </w:pPr>
      <w:r>
        <w:t xml:space="preserve">Table </w:t>
      </w:r>
      <w:r w:rsidR="00A12842">
        <w:t>4</w:t>
      </w:r>
      <w:r>
        <w:t>: Workforce Race Equality Data for Metric from 2020 to 2024.</w:t>
      </w:r>
    </w:p>
    <w:tbl>
      <w:tblPr>
        <w:tblStyle w:val="TableGrid"/>
        <w:tblW w:w="0" w:type="auto"/>
        <w:tblLook w:val="04A0" w:firstRow="1" w:lastRow="0" w:firstColumn="1" w:lastColumn="0" w:noHBand="0" w:noVBand="1"/>
      </w:tblPr>
      <w:tblGrid>
        <w:gridCol w:w="4036"/>
        <w:gridCol w:w="996"/>
        <w:gridCol w:w="996"/>
        <w:gridCol w:w="996"/>
        <w:gridCol w:w="996"/>
        <w:gridCol w:w="996"/>
      </w:tblGrid>
      <w:tr w:rsidR="00A26C4E" w14:paraId="47853EB0" w14:textId="77777777" w:rsidTr="6EAAB41B">
        <w:tc>
          <w:tcPr>
            <w:tcW w:w="4106" w:type="dxa"/>
          </w:tcPr>
          <w:p w14:paraId="04C0D3C1" w14:textId="77777777" w:rsidR="00201911" w:rsidRPr="00201911" w:rsidRDefault="00201911" w:rsidP="6EAAB41B">
            <w:pPr>
              <w:jc w:val="both"/>
              <w:rPr>
                <w:b/>
                <w:bCs/>
              </w:rPr>
            </w:pPr>
            <w:r w:rsidRPr="6EAAB41B">
              <w:rPr>
                <w:b/>
                <w:bCs/>
              </w:rPr>
              <w:t>Staff group</w:t>
            </w:r>
          </w:p>
        </w:tc>
        <w:tc>
          <w:tcPr>
            <w:tcW w:w="992" w:type="dxa"/>
          </w:tcPr>
          <w:p w14:paraId="7488380D" w14:textId="77777777" w:rsidR="00201911" w:rsidRPr="00201911" w:rsidRDefault="00201911" w:rsidP="6EAAB41B">
            <w:pPr>
              <w:jc w:val="both"/>
              <w:rPr>
                <w:b/>
                <w:bCs/>
              </w:rPr>
            </w:pPr>
            <w:r w:rsidRPr="6EAAB41B">
              <w:rPr>
                <w:b/>
                <w:bCs/>
              </w:rPr>
              <w:t>2020</w:t>
            </w:r>
          </w:p>
        </w:tc>
        <w:tc>
          <w:tcPr>
            <w:tcW w:w="993" w:type="dxa"/>
          </w:tcPr>
          <w:p w14:paraId="28DB399E" w14:textId="77777777" w:rsidR="00201911" w:rsidRPr="00201911" w:rsidRDefault="00201911" w:rsidP="6EAAB41B">
            <w:pPr>
              <w:jc w:val="both"/>
              <w:rPr>
                <w:b/>
                <w:bCs/>
              </w:rPr>
            </w:pPr>
            <w:r w:rsidRPr="6EAAB41B">
              <w:rPr>
                <w:b/>
                <w:bCs/>
              </w:rPr>
              <w:t>2021</w:t>
            </w:r>
          </w:p>
        </w:tc>
        <w:tc>
          <w:tcPr>
            <w:tcW w:w="992" w:type="dxa"/>
          </w:tcPr>
          <w:p w14:paraId="7D3E35A4" w14:textId="77777777" w:rsidR="00201911" w:rsidRPr="00201911" w:rsidRDefault="00201911" w:rsidP="6EAAB41B">
            <w:pPr>
              <w:jc w:val="both"/>
              <w:rPr>
                <w:b/>
                <w:bCs/>
              </w:rPr>
            </w:pPr>
            <w:r w:rsidRPr="6EAAB41B">
              <w:rPr>
                <w:b/>
                <w:bCs/>
              </w:rPr>
              <w:t>2022</w:t>
            </w:r>
          </w:p>
        </w:tc>
        <w:tc>
          <w:tcPr>
            <w:tcW w:w="992" w:type="dxa"/>
          </w:tcPr>
          <w:p w14:paraId="569CCD36" w14:textId="77777777" w:rsidR="00201911" w:rsidRPr="00201911" w:rsidRDefault="00201911" w:rsidP="6EAAB41B">
            <w:pPr>
              <w:jc w:val="both"/>
              <w:rPr>
                <w:b/>
                <w:bCs/>
              </w:rPr>
            </w:pPr>
            <w:r w:rsidRPr="6EAAB41B">
              <w:rPr>
                <w:b/>
                <w:bCs/>
              </w:rPr>
              <w:t>2023</w:t>
            </w:r>
          </w:p>
        </w:tc>
        <w:tc>
          <w:tcPr>
            <w:tcW w:w="941" w:type="dxa"/>
          </w:tcPr>
          <w:p w14:paraId="58797B8A" w14:textId="77777777" w:rsidR="00201911" w:rsidRPr="00201911" w:rsidRDefault="00201911" w:rsidP="6EAAB41B">
            <w:pPr>
              <w:jc w:val="both"/>
              <w:rPr>
                <w:b/>
                <w:bCs/>
              </w:rPr>
            </w:pPr>
            <w:r w:rsidRPr="6EAAB41B">
              <w:rPr>
                <w:b/>
                <w:bCs/>
              </w:rPr>
              <w:t>2024</w:t>
            </w:r>
          </w:p>
        </w:tc>
      </w:tr>
      <w:tr w:rsidR="00A26C4E" w14:paraId="64A5F9C8" w14:textId="77777777" w:rsidTr="6EAAB41B">
        <w:tc>
          <w:tcPr>
            <w:tcW w:w="4106" w:type="dxa"/>
          </w:tcPr>
          <w:p w14:paraId="5DC2D2CF" w14:textId="77777777" w:rsidR="00201911" w:rsidRDefault="00201911" w:rsidP="6EAAB41B">
            <w:pPr>
              <w:jc w:val="both"/>
            </w:pPr>
            <w:r>
              <w:t>White staff DGFT</w:t>
            </w:r>
          </w:p>
        </w:tc>
        <w:tc>
          <w:tcPr>
            <w:tcW w:w="992" w:type="dxa"/>
          </w:tcPr>
          <w:p w14:paraId="161E261E" w14:textId="0F0FD543" w:rsidR="00201911" w:rsidRDefault="00A26C4E" w:rsidP="00A3558A">
            <w:r>
              <w:t>6.03%</w:t>
            </w:r>
          </w:p>
        </w:tc>
        <w:tc>
          <w:tcPr>
            <w:tcW w:w="993" w:type="dxa"/>
          </w:tcPr>
          <w:p w14:paraId="1DA91B5A" w14:textId="6B6F042F" w:rsidR="00201911" w:rsidRDefault="00A26C4E" w:rsidP="00A3558A">
            <w:r>
              <w:t>5.08%</w:t>
            </w:r>
          </w:p>
        </w:tc>
        <w:tc>
          <w:tcPr>
            <w:tcW w:w="992" w:type="dxa"/>
          </w:tcPr>
          <w:p w14:paraId="7B8B05FC" w14:textId="7C61C61F" w:rsidR="00201911" w:rsidRDefault="00A26C4E" w:rsidP="00A3558A">
            <w:r>
              <w:t>5.31%</w:t>
            </w:r>
          </w:p>
        </w:tc>
        <w:tc>
          <w:tcPr>
            <w:tcW w:w="992" w:type="dxa"/>
          </w:tcPr>
          <w:p w14:paraId="1F71A0E4" w14:textId="05953A3C" w:rsidR="00201911" w:rsidRDefault="00A26C4E" w:rsidP="00A3558A">
            <w:r>
              <w:t>6.34%</w:t>
            </w:r>
          </w:p>
        </w:tc>
        <w:tc>
          <w:tcPr>
            <w:tcW w:w="941" w:type="dxa"/>
          </w:tcPr>
          <w:p w14:paraId="6536068B" w14:textId="70CC9BD6" w:rsidR="00201911" w:rsidRDefault="00A26C4E" w:rsidP="00A3558A">
            <w:r>
              <w:t>5.67%</w:t>
            </w:r>
          </w:p>
        </w:tc>
      </w:tr>
      <w:tr w:rsidR="00A26C4E" w14:paraId="769D211C" w14:textId="77777777" w:rsidTr="6EAAB41B">
        <w:tc>
          <w:tcPr>
            <w:tcW w:w="4106" w:type="dxa"/>
          </w:tcPr>
          <w:p w14:paraId="4E6C4E17" w14:textId="77777777" w:rsidR="00201911" w:rsidRDefault="00201911" w:rsidP="6EAAB41B">
            <w:pPr>
              <w:jc w:val="both"/>
            </w:pPr>
            <w:r>
              <w:t>All other ethnic groups DGFT</w:t>
            </w:r>
          </w:p>
        </w:tc>
        <w:tc>
          <w:tcPr>
            <w:tcW w:w="992" w:type="dxa"/>
          </w:tcPr>
          <w:p w14:paraId="2BFC996E" w14:textId="5A2D8133" w:rsidR="00201911" w:rsidRDefault="00A26C4E" w:rsidP="00A3558A">
            <w:r>
              <w:t>17.49%</w:t>
            </w:r>
          </w:p>
        </w:tc>
        <w:tc>
          <w:tcPr>
            <w:tcW w:w="993" w:type="dxa"/>
          </w:tcPr>
          <w:p w14:paraId="1496D8F8" w14:textId="0EDB407C" w:rsidR="00201911" w:rsidRDefault="00A26C4E" w:rsidP="00A3558A">
            <w:r>
              <w:t>16.27%</w:t>
            </w:r>
          </w:p>
        </w:tc>
        <w:tc>
          <w:tcPr>
            <w:tcW w:w="992" w:type="dxa"/>
          </w:tcPr>
          <w:p w14:paraId="7A0E6AEC" w14:textId="289600A7" w:rsidR="00201911" w:rsidRDefault="00A26C4E" w:rsidP="00A3558A">
            <w:r>
              <w:t>16.44%</w:t>
            </w:r>
          </w:p>
        </w:tc>
        <w:tc>
          <w:tcPr>
            <w:tcW w:w="992" w:type="dxa"/>
          </w:tcPr>
          <w:p w14:paraId="1628CEDB" w14:textId="44968B94" w:rsidR="00201911" w:rsidRDefault="00A26C4E" w:rsidP="00A3558A">
            <w:r>
              <w:t>18.84%</w:t>
            </w:r>
          </w:p>
        </w:tc>
        <w:tc>
          <w:tcPr>
            <w:tcW w:w="941" w:type="dxa"/>
          </w:tcPr>
          <w:p w14:paraId="3694696C" w14:textId="76A183E9" w:rsidR="00201911" w:rsidRDefault="00A26C4E" w:rsidP="00A3558A">
            <w:r>
              <w:t>18.30%</w:t>
            </w:r>
          </w:p>
        </w:tc>
      </w:tr>
      <w:tr w:rsidR="00A26C4E" w14:paraId="395B392D" w14:textId="77777777" w:rsidTr="6EAAB41B">
        <w:tc>
          <w:tcPr>
            <w:tcW w:w="4106" w:type="dxa"/>
          </w:tcPr>
          <w:p w14:paraId="050C16F4" w14:textId="77777777" w:rsidR="00201911" w:rsidRDefault="00201911" w:rsidP="6EAAB41B">
            <w:pPr>
              <w:jc w:val="both"/>
            </w:pPr>
            <w:r>
              <w:t>White staff average</w:t>
            </w:r>
          </w:p>
        </w:tc>
        <w:tc>
          <w:tcPr>
            <w:tcW w:w="992" w:type="dxa"/>
          </w:tcPr>
          <w:p w14:paraId="3BD931C8" w14:textId="61775EAF" w:rsidR="00201911" w:rsidRDefault="00386B80" w:rsidP="00A3558A">
            <w:r>
              <w:t>6.09%</w:t>
            </w:r>
          </w:p>
        </w:tc>
        <w:tc>
          <w:tcPr>
            <w:tcW w:w="993" w:type="dxa"/>
          </w:tcPr>
          <w:p w14:paraId="1657A6C4" w14:textId="2D547480" w:rsidR="00201911" w:rsidRDefault="00386B80" w:rsidP="00A3558A">
            <w:r>
              <w:t>6.67%</w:t>
            </w:r>
          </w:p>
        </w:tc>
        <w:tc>
          <w:tcPr>
            <w:tcW w:w="992" w:type="dxa"/>
          </w:tcPr>
          <w:p w14:paraId="3BA57044" w14:textId="1A7B8639" w:rsidR="00201911" w:rsidRDefault="00386B80" w:rsidP="00A3558A">
            <w:r>
              <w:t>6.52%</w:t>
            </w:r>
          </w:p>
        </w:tc>
        <w:tc>
          <w:tcPr>
            <w:tcW w:w="992" w:type="dxa"/>
          </w:tcPr>
          <w:p w14:paraId="54D0A9FB" w14:textId="4D3580F6" w:rsidR="00201911" w:rsidRDefault="00386B80" w:rsidP="00A3558A">
            <w:r>
              <w:t>6.73%</w:t>
            </w:r>
          </w:p>
        </w:tc>
        <w:tc>
          <w:tcPr>
            <w:tcW w:w="941" w:type="dxa"/>
          </w:tcPr>
          <w:p w14:paraId="6415F4BF" w14:textId="0509E51B" w:rsidR="00201911" w:rsidRDefault="00386B80" w:rsidP="00A3558A">
            <w:r>
              <w:t>6.69%</w:t>
            </w:r>
          </w:p>
        </w:tc>
      </w:tr>
      <w:tr w:rsidR="00A26C4E" w14:paraId="7E89FC16" w14:textId="77777777" w:rsidTr="6EAAB41B">
        <w:tc>
          <w:tcPr>
            <w:tcW w:w="4106" w:type="dxa"/>
          </w:tcPr>
          <w:p w14:paraId="7BAD3B80" w14:textId="77777777" w:rsidR="00201911" w:rsidRDefault="00201911" w:rsidP="6EAAB41B">
            <w:pPr>
              <w:jc w:val="both"/>
            </w:pPr>
            <w:r>
              <w:t>All other ethnic groups average</w:t>
            </w:r>
          </w:p>
        </w:tc>
        <w:tc>
          <w:tcPr>
            <w:tcW w:w="992" w:type="dxa"/>
          </w:tcPr>
          <w:p w14:paraId="3FD09AA1" w14:textId="254B397D" w:rsidR="00201911" w:rsidRDefault="00386B80" w:rsidP="00A3558A">
            <w:r>
              <w:t>16.77%</w:t>
            </w:r>
          </w:p>
        </w:tc>
        <w:tc>
          <w:tcPr>
            <w:tcW w:w="993" w:type="dxa"/>
          </w:tcPr>
          <w:p w14:paraId="40C8F984" w14:textId="3FA028B4" w:rsidR="00201911" w:rsidRDefault="00386B80" w:rsidP="00A3558A">
            <w:r>
              <w:t>17.28%</w:t>
            </w:r>
          </w:p>
        </w:tc>
        <w:tc>
          <w:tcPr>
            <w:tcW w:w="992" w:type="dxa"/>
          </w:tcPr>
          <w:p w14:paraId="79190D6C" w14:textId="7F4F7B15" w:rsidR="00201911" w:rsidRDefault="00386B80" w:rsidP="00A3558A">
            <w:r>
              <w:t>17.33%</w:t>
            </w:r>
          </w:p>
        </w:tc>
        <w:tc>
          <w:tcPr>
            <w:tcW w:w="992" w:type="dxa"/>
          </w:tcPr>
          <w:p w14:paraId="5124EB95" w14:textId="3D9F249E" w:rsidR="00201911" w:rsidRDefault="00386B80" w:rsidP="00A3558A">
            <w:r>
              <w:t>16.14%</w:t>
            </w:r>
          </w:p>
        </w:tc>
        <w:tc>
          <w:tcPr>
            <w:tcW w:w="941" w:type="dxa"/>
          </w:tcPr>
          <w:p w14:paraId="106E9D01" w14:textId="29BDC703" w:rsidR="00201911" w:rsidRDefault="00386B80" w:rsidP="00A3558A">
            <w:r>
              <w:t>15.72%</w:t>
            </w:r>
          </w:p>
        </w:tc>
      </w:tr>
      <w:tr w:rsidR="00A26C4E" w14:paraId="3AC90809" w14:textId="77777777" w:rsidTr="6EAAB41B">
        <w:tc>
          <w:tcPr>
            <w:tcW w:w="4106" w:type="dxa"/>
          </w:tcPr>
          <w:p w14:paraId="0E98D833" w14:textId="77777777" w:rsidR="00201911" w:rsidRDefault="00201911" w:rsidP="6EAAB41B">
            <w:pPr>
              <w:jc w:val="both"/>
            </w:pPr>
            <w:r>
              <w:t>White staff responses</w:t>
            </w:r>
          </w:p>
        </w:tc>
        <w:tc>
          <w:tcPr>
            <w:tcW w:w="992" w:type="dxa"/>
          </w:tcPr>
          <w:p w14:paraId="18AAC7EA" w14:textId="24E073BD" w:rsidR="00201911" w:rsidRDefault="0067693E" w:rsidP="00A3558A">
            <w:r>
              <w:t>1856</w:t>
            </w:r>
          </w:p>
        </w:tc>
        <w:tc>
          <w:tcPr>
            <w:tcW w:w="993" w:type="dxa"/>
          </w:tcPr>
          <w:p w14:paraId="6AC41600" w14:textId="2B6D804F" w:rsidR="00201911" w:rsidRDefault="0067693E" w:rsidP="00A3558A">
            <w:r>
              <w:t>2537</w:t>
            </w:r>
          </w:p>
        </w:tc>
        <w:tc>
          <w:tcPr>
            <w:tcW w:w="992" w:type="dxa"/>
          </w:tcPr>
          <w:p w14:paraId="7F8CEE77" w14:textId="7A235C3A" w:rsidR="00201911" w:rsidRDefault="0067693E" w:rsidP="00A3558A">
            <w:r>
              <w:t>2147</w:t>
            </w:r>
          </w:p>
        </w:tc>
        <w:tc>
          <w:tcPr>
            <w:tcW w:w="992" w:type="dxa"/>
          </w:tcPr>
          <w:p w14:paraId="5CA53DB8" w14:textId="704BAD88" w:rsidR="00201911" w:rsidRDefault="0067693E" w:rsidP="00A3558A">
            <w:r>
              <w:t>2036</w:t>
            </w:r>
          </w:p>
        </w:tc>
        <w:tc>
          <w:tcPr>
            <w:tcW w:w="941" w:type="dxa"/>
          </w:tcPr>
          <w:p w14:paraId="4A3DAAAA" w14:textId="7014D826" w:rsidR="00201911" w:rsidRDefault="0067693E" w:rsidP="00A3558A">
            <w:r>
              <w:t>2152</w:t>
            </w:r>
          </w:p>
        </w:tc>
      </w:tr>
      <w:tr w:rsidR="00A26C4E" w14:paraId="7583E6DF" w14:textId="77777777" w:rsidTr="6EAAB41B">
        <w:tc>
          <w:tcPr>
            <w:tcW w:w="4106" w:type="dxa"/>
          </w:tcPr>
          <w:p w14:paraId="4D4617A9" w14:textId="77777777" w:rsidR="00201911" w:rsidRDefault="00201911" w:rsidP="6EAAB41B">
            <w:pPr>
              <w:jc w:val="both"/>
            </w:pPr>
            <w:r>
              <w:t xml:space="preserve">All other ethnic group responses </w:t>
            </w:r>
          </w:p>
        </w:tc>
        <w:tc>
          <w:tcPr>
            <w:tcW w:w="992" w:type="dxa"/>
          </w:tcPr>
          <w:p w14:paraId="150698CC" w14:textId="405190F5" w:rsidR="00201911" w:rsidRDefault="0067693E" w:rsidP="00A3558A">
            <w:r>
              <w:t>303</w:t>
            </w:r>
          </w:p>
        </w:tc>
        <w:tc>
          <w:tcPr>
            <w:tcW w:w="993" w:type="dxa"/>
          </w:tcPr>
          <w:p w14:paraId="39207AE3" w14:textId="7C203AB6" w:rsidR="00201911" w:rsidRDefault="0067693E" w:rsidP="00A3558A">
            <w:r>
              <w:t>498</w:t>
            </w:r>
          </w:p>
        </w:tc>
        <w:tc>
          <w:tcPr>
            <w:tcW w:w="992" w:type="dxa"/>
          </w:tcPr>
          <w:p w14:paraId="2E1739D2" w14:textId="59F0C149" w:rsidR="00201911" w:rsidRDefault="0067693E" w:rsidP="00A3558A">
            <w:r>
              <w:t>584</w:t>
            </w:r>
          </w:p>
        </w:tc>
        <w:tc>
          <w:tcPr>
            <w:tcW w:w="992" w:type="dxa"/>
          </w:tcPr>
          <w:p w14:paraId="4C120195" w14:textId="7ACDB747" w:rsidR="00201911" w:rsidRDefault="0067693E" w:rsidP="00A3558A">
            <w:r>
              <w:t>653</w:t>
            </w:r>
          </w:p>
        </w:tc>
        <w:tc>
          <w:tcPr>
            <w:tcW w:w="941" w:type="dxa"/>
          </w:tcPr>
          <w:p w14:paraId="69D3983A" w14:textId="6FA59C8E" w:rsidR="00201911" w:rsidRDefault="0067693E" w:rsidP="00A3558A">
            <w:r>
              <w:t>705</w:t>
            </w:r>
          </w:p>
        </w:tc>
      </w:tr>
    </w:tbl>
    <w:p w14:paraId="786708FA" w14:textId="77777777" w:rsidR="00036217" w:rsidRDefault="00036217" w:rsidP="6EAAB41B">
      <w:pPr>
        <w:jc w:val="both"/>
      </w:pPr>
    </w:p>
    <w:p w14:paraId="7C79076E" w14:textId="4D430776" w:rsidR="0000625D" w:rsidRDefault="0006378E" w:rsidP="6EAAB41B">
      <w:pPr>
        <w:jc w:val="both"/>
      </w:pPr>
      <w:r w:rsidRPr="0006378E">
        <w:t>Discrimination remains a significant issue, particularly within teams, and requires targeted cultural and leadership interventions.</w:t>
      </w:r>
    </w:p>
    <w:p w14:paraId="6C0FD50F" w14:textId="77777777" w:rsidR="000F2043" w:rsidRDefault="000F2043" w:rsidP="6EAAB41B">
      <w:pPr>
        <w:jc w:val="both"/>
      </w:pPr>
    </w:p>
    <w:p w14:paraId="2291F7B1" w14:textId="7C5BE018" w:rsidR="00036217" w:rsidRDefault="00036217" w:rsidP="6EAAB41B">
      <w:pPr>
        <w:pStyle w:val="Heading1"/>
        <w:jc w:val="both"/>
      </w:pPr>
      <w:bookmarkStart w:id="17" w:name="_Toc196746738"/>
      <w:r>
        <w:lastRenderedPageBreak/>
        <w:t>Conclusion</w:t>
      </w:r>
      <w:bookmarkEnd w:id="17"/>
    </w:p>
    <w:p w14:paraId="7ADFD52B" w14:textId="3EA4C4C0" w:rsidR="00927FEA" w:rsidRPr="008D1BA5" w:rsidRDefault="3C5656F1" w:rsidP="0024561C">
      <w:pPr>
        <w:spacing w:before="120" w:after="60"/>
        <w:jc w:val="both"/>
        <w:rPr>
          <w:rFonts w:eastAsia="Segoe UI" w:cs="Segoe UI"/>
        </w:rPr>
      </w:pPr>
      <w:r w:rsidRPr="009022A0">
        <w:rPr>
          <w:rFonts w:eastAsia="Segoe UI" w:cs="Segoe UI"/>
        </w:rPr>
        <w:t xml:space="preserve"> </w:t>
      </w:r>
      <w:r w:rsidRPr="008D1BA5">
        <w:rPr>
          <w:rFonts w:eastAsia="Segoe UI" w:cs="Segoe UI"/>
        </w:rPr>
        <w:t>The 2025 Workforce Race Equality Standard (WRES) data highlights encouraging progress and persistent challenges in achieving racial equity across The Dudley Group NHS Foundation Trust.</w:t>
      </w:r>
    </w:p>
    <w:p w14:paraId="5DB751D6" w14:textId="19FCA372" w:rsidR="3C5656F1" w:rsidRPr="008D1BA5" w:rsidRDefault="3C5656F1" w:rsidP="0024561C">
      <w:pPr>
        <w:spacing w:before="120" w:after="60"/>
        <w:jc w:val="both"/>
        <w:rPr>
          <w:rFonts w:eastAsia="Segoe UI" w:cs="Segoe UI"/>
        </w:rPr>
      </w:pPr>
      <w:r w:rsidRPr="008D1BA5">
        <w:rPr>
          <w:rFonts w:eastAsia="Segoe UI" w:cs="Segoe UI"/>
        </w:rPr>
        <w:t>We are proud to report a continued increase in the representation of</w:t>
      </w:r>
      <w:r w:rsidR="00A210D8" w:rsidRPr="008D1BA5">
        <w:rPr>
          <w:rFonts w:eastAsia="Segoe UI" w:cs="Segoe UI"/>
        </w:rPr>
        <w:t xml:space="preserve"> staff from ethnically diverse backgrounds</w:t>
      </w:r>
      <w:r w:rsidRPr="008D1BA5">
        <w:rPr>
          <w:rFonts w:eastAsia="Segoe UI" w:cs="Segoe UI"/>
        </w:rPr>
        <w:t>, now at 29% of our workforce. This reflects our ongoing commitment to building a more inclusive organisation. However, the data also reveals areas where disparities remain</w:t>
      </w:r>
      <w:r w:rsidR="00966A72" w:rsidRPr="008D1BA5">
        <w:rPr>
          <w:rFonts w:eastAsia="Segoe UI" w:cs="Segoe UI"/>
        </w:rPr>
        <w:t>,</w:t>
      </w:r>
      <w:r w:rsidR="00A210D8" w:rsidRPr="008D1BA5">
        <w:rPr>
          <w:rFonts w:eastAsia="Segoe UI" w:cs="Segoe UI"/>
        </w:rPr>
        <w:t xml:space="preserve"> </w:t>
      </w:r>
      <w:r w:rsidRPr="008D1BA5">
        <w:rPr>
          <w:rFonts w:eastAsia="Segoe UI" w:cs="Segoe UI"/>
        </w:rPr>
        <w:t>particularly in recruitment outcomes, disciplinary processes, access to development opportunities, and representation at senior leadership levels.</w:t>
      </w:r>
    </w:p>
    <w:p w14:paraId="661D3DFA" w14:textId="16BA274B" w:rsidR="3C5656F1" w:rsidRPr="008D1BA5" w:rsidRDefault="006C7471" w:rsidP="0024561C">
      <w:pPr>
        <w:spacing w:before="120" w:after="60"/>
        <w:jc w:val="both"/>
        <w:rPr>
          <w:rFonts w:eastAsia="Segoe UI" w:cs="Segoe UI"/>
        </w:rPr>
      </w:pPr>
      <w:r w:rsidRPr="008D1BA5">
        <w:rPr>
          <w:rFonts w:eastAsia="Segoe UI" w:cs="Segoe UI"/>
        </w:rPr>
        <w:t>Applicants</w:t>
      </w:r>
      <w:r w:rsidR="00A210D8" w:rsidRPr="008D1BA5">
        <w:rPr>
          <w:rFonts w:eastAsia="Segoe UI" w:cs="Segoe UI"/>
        </w:rPr>
        <w:t xml:space="preserve"> from ethnically diverse backgrounds</w:t>
      </w:r>
      <w:r w:rsidR="3C5656F1" w:rsidRPr="008D1BA5">
        <w:rPr>
          <w:rFonts w:eastAsia="Segoe UI" w:cs="Segoe UI"/>
        </w:rPr>
        <w:t xml:space="preserve"> continue to face lower appointment rates from shortlisting</w:t>
      </w:r>
      <w:r w:rsidR="00966A72" w:rsidRPr="008D1BA5">
        <w:rPr>
          <w:rFonts w:eastAsia="Segoe UI" w:cs="Segoe UI"/>
        </w:rPr>
        <w:t>,</w:t>
      </w:r>
      <w:r w:rsidR="3C5656F1" w:rsidRPr="008D1BA5">
        <w:rPr>
          <w:rFonts w:eastAsia="Segoe UI" w:cs="Segoe UI"/>
        </w:rPr>
        <w:t xml:space="preserve"> and</w:t>
      </w:r>
      <w:r w:rsidRPr="008D1BA5">
        <w:rPr>
          <w:rFonts w:eastAsia="Segoe UI" w:cs="Segoe UI"/>
        </w:rPr>
        <w:t xml:space="preserve"> staff from ethnically diverse backgrounds</w:t>
      </w:r>
      <w:r w:rsidR="3C5656F1" w:rsidRPr="008D1BA5">
        <w:rPr>
          <w:rFonts w:eastAsia="Segoe UI" w:cs="Segoe UI"/>
        </w:rPr>
        <w:t xml:space="preserve"> are more likely to enter formal disciplinary processes. Access to non-mandatory training and CPD remains unequal, and perceptions of fairness in career progression show a persistent gap. Reports of harassment and discrimination</w:t>
      </w:r>
      <w:r w:rsidR="00966A72" w:rsidRPr="008D1BA5">
        <w:rPr>
          <w:rFonts w:eastAsia="Segoe UI" w:cs="Segoe UI"/>
        </w:rPr>
        <w:t xml:space="preserve">, </w:t>
      </w:r>
      <w:r w:rsidR="3C5656F1" w:rsidRPr="008D1BA5">
        <w:rPr>
          <w:rFonts w:eastAsia="Segoe UI" w:cs="Segoe UI"/>
        </w:rPr>
        <w:t>especially from patients and the public</w:t>
      </w:r>
      <w:r w:rsidR="00966A72" w:rsidRPr="008D1BA5">
        <w:rPr>
          <w:rFonts w:eastAsia="Segoe UI" w:cs="Segoe UI"/>
        </w:rPr>
        <w:t xml:space="preserve">, </w:t>
      </w:r>
      <w:r w:rsidR="3C5656F1" w:rsidRPr="008D1BA5">
        <w:rPr>
          <w:rFonts w:eastAsia="Segoe UI" w:cs="Segoe UI"/>
        </w:rPr>
        <w:t>underscore the need for stronger protections and support mechanisms.</w:t>
      </w:r>
    </w:p>
    <w:p w14:paraId="4A6A890E" w14:textId="64E8234C" w:rsidR="3C5656F1" w:rsidRPr="008D1BA5" w:rsidRDefault="3C5656F1" w:rsidP="0024561C">
      <w:pPr>
        <w:spacing w:before="120" w:after="60"/>
        <w:jc w:val="both"/>
        <w:rPr>
          <w:rFonts w:eastAsia="Segoe UI" w:cs="Segoe UI"/>
        </w:rPr>
      </w:pPr>
      <w:r w:rsidRPr="008D1BA5">
        <w:rPr>
          <w:rFonts w:eastAsia="Segoe UI" w:cs="Segoe UI"/>
        </w:rPr>
        <w:t>Despite these challenges, we are making progress. Internal reports of bullying and harassment have declined, and perceptions of equal opportunity among</w:t>
      </w:r>
      <w:r w:rsidR="001869C4" w:rsidRPr="008D1BA5">
        <w:rPr>
          <w:rFonts w:eastAsia="Segoe UI" w:cs="Segoe UI"/>
        </w:rPr>
        <w:t xml:space="preserve"> staff from ethnically diverse backgrounds</w:t>
      </w:r>
      <w:r w:rsidRPr="008D1BA5">
        <w:rPr>
          <w:rFonts w:eastAsia="Segoe UI" w:cs="Segoe UI"/>
        </w:rPr>
        <w:t xml:space="preserve"> have improved over the past five years. These gains </w:t>
      </w:r>
      <w:r w:rsidR="00683B40" w:rsidRPr="008D1BA5">
        <w:rPr>
          <w:rFonts w:eastAsia="Segoe UI" w:cs="Segoe UI"/>
        </w:rPr>
        <w:t>result from</w:t>
      </w:r>
      <w:r w:rsidRPr="008D1BA5">
        <w:rPr>
          <w:rFonts w:eastAsia="Segoe UI" w:cs="Segoe UI"/>
        </w:rPr>
        <w:t xml:space="preserve"> deliberate, sustained efforts</w:t>
      </w:r>
      <w:r w:rsidR="00683B40" w:rsidRPr="008D1BA5">
        <w:rPr>
          <w:rFonts w:eastAsia="Segoe UI" w:cs="Segoe UI"/>
        </w:rPr>
        <w:t xml:space="preserve"> </w:t>
      </w:r>
      <w:r w:rsidRPr="008D1BA5">
        <w:rPr>
          <w:rFonts w:eastAsia="Segoe UI" w:cs="Segoe UI"/>
        </w:rPr>
        <w:t>and they reinforce the importance of continuing this work.</w:t>
      </w:r>
    </w:p>
    <w:p w14:paraId="586E1F1F" w14:textId="485EEB8E" w:rsidR="3C5656F1" w:rsidRPr="009022A0" w:rsidRDefault="3C5656F1" w:rsidP="0024561C">
      <w:pPr>
        <w:spacing w:before="120" w:after="60"/>
        <w:jc w:val="both"/>
        <w:rPr>
          <w:rFonts w:eastAsia="Segoe UI" w:cs="Segoe UI"/>
        </w:rPr>
      </w:pPr>
      <w:r w:rsidRPr="009022A0">
        <w:rPr>
          <w:rFonts w:eastAsia="Segoe UI" w:cs="Segoe UI"/>
        </w:rPr>
        <w:t xml:space="preserve">Our Equality, Diversity, and Inclusion (EDI) Workforce Journey, embedded within the Dudley People Plan and the Shaping #OurFuture Strategy, provides a clear roadmap for action. We are committed to using this data to inform targeted interventions, strengthen inclusive leadership, and ensure that every </w:t>
      </w:r>
      <w:r w:rsidR="00683B40" w:rsidRPr="009022A0">
        <w:rPr>
          <w:rFonts w:eastAsia="Segoe UI" w:cs="Segoe UI"/>
        </w:rPr>
        <w:t>workforce member</w:t>
      </w:r>
      <w:r w:rsidRPr="009022A0">
        <w:rPr>
          <w:rFonts w:eastAsia="Segoe UI" w:cs="Segoe UI"/>
        </w:rPr>
        <w:t xml:space="preserve"> feels respected, supported, and empowered to succeed.</w:t>
      </w:r>
    </w:p>
    <w:p w14:paraId="62D61F3C" w14:textId="1A399F56" w:rsidR="007E3C5E" w:rsidRDefault="3C5656F1" w:rsidP="00390B3B">
      <w:pPr>
        <w:spacing w:before="120" w:after="60"/>
        <w:jc w:val="both"/>
        <w:rPr>
          <w:rFonts w:eastAsia="Segoe UI" w:cs="Segoe UI"/>
        </w:rPr>
      </w:pPr>
      <w:r w:rsidRPr="009022A0">
        <w:rPr>
          <w:rFonts w:eastAsia="Segoe UI" w:cs="Segoe UI"/>
        </w:rPr>
        <w:t>By listening to our staff, acting on their feedback, and holding ourselves accountable, we will continue to build a workplace where equity is not just a goal</w:t>
      </w:r>
      <w:r w:rsidR="00683B40" w:rsidRPr="009022A0">
        <w:rPr>
          <w:rFonts w:eastAsia="Segoe UI" w:cs="Segoe UI"/>
        </w:rPr>
        <w:t xml:space="preserve"> </w:t>
      </w:r>
      <w:r w:rsidRPr="009022A0">
        <w:rPr>
          <w:rFonts w:eastAsia="Segoe UI" w:cs="Segoe UI"/>
        </w:rPr>
        <w:t>but a lived reality for all.</w:t>
      </w:r>
    </w:p>
    <w:p w14:paraId="3FA23CC5" w14:textId="77777777" w:rsidR="000F2043" w:rsidRDefault="000F2043" w:rsidP="00390B3B">
      <w:pPr>
        <w:spacing w:before="120" w:after="60"/>
        <w:jc w:val="both"/>
        <w:rPr>
          <w:rFonts w:eastAsia="Segoe UI" w:cs="Segoe UI"/>
        </w:rPr>
      </w:pPr>
    </w:p>
    <w:p w14:paraId="1EE4D62B" w14:textId="77777777" w:rsidR="000F2043" w:rsidRDefault="000F2043" w:rsidP="00390B3B">
      <w:pPr>
        <w:spacing w:before="120" w:after="60"/>
        <w:jc w:val="both"/>
        <w:rPr>
          <w:rFonts w:eastAsia="Segoe UI" w:cs="Segoe UI"/>
        </w:rPr>
      </w:pPr>
    </w:p>
    <w:p w14:paraId="697042DF" w14:textId="77777777" w:rsidR="000F2043" w:rsidRDefault="000F2043" w:rsidP="00390B3B">
      <w:pPr>
        <w:spacing w:before="120" w:after="60"/>
        <w:jc w:val="both"/>
        <w:rPr>
          <w:rFonts w:eastAsia="Segoe UI" w:cs="Segoe UI"/>
        </w:rPr>
      </w:pPr>
    </w:p>
    <w:p w14:paraId="20152469" w14:textId="77777777" w:rsidR="000F2043" w:rsidRPr="00390B3B" w:rsidRDefault="000F2043" w:rsidP="00390B3B">
      <w:pPr>
        <w:spacing w:before="120" w:after="60"/>
        <w:jc w:val="both"/>
        <w:rPr>
          <w:rFonts w:eastAsia="Segoe UI" w:cs="Segoe UI"/>
        </w:rPr>
      </w:pPr>
    </w:p>
    <w:p w14:paraId="738C1543" w14:textId="4DB3C03C" w:rsidR="001B2738" w:rsidRPr="0024561C" w:rsidRDefault="001B2738" w:rsidP="0024561C">
      <w:pPr>
        <w:pStyle w:val="Heading1"/>
        <w:jc w:val="both"/>
        <w:rPr>
          <w:rFonts w:asciiTheme="minorHAnsi" w:hAnsiTheme="minorHAnsi"/>
        </w:rPr>
      </w:pPr>
      <w:bookmarkStart w:id="18" w:name="_Toc196746739"/>
      <w:r w:rsidRPr="0024561C">
        <w:rPr>
          <w:rFonts w:asciiTheme="minorHAnsi" w:hAnsiTheme="minorHAnsi"/>
        </w:rPr>
        <w:lastRenderedPageBreak/>
        <w:t>Action Planning</w:t>
      </w:r>
      <w:bookmarkEnd w:id="18"/>
    </w:p>
    <w:p w14:paraId="27555837" w14:textId="76E50A03" w:rsidR="007D4F53" w:rsidRPr="007E3C5E" w:rsidRDefault="007D4F53" w:rsidP="00962664">
      <w:pPr>
        <w:jc w:val="both"/>
        <w:rPr>
          <w:rFonts w:eastAsia="Segoe UI" w:cs="Segoe UI"/>
        </w:rPr>
      </w:pPr>
      <w:r w:rsidRPr="007D4F53">
        <w:rPr>
          <w:rFonts w:eastAsia="Segoe UI" w:cs="Segoe UI"/>
        </w:rPr>
        <w:t xml:space="preserve">As part of our ongoing commitment to advancing </w:t>
      </w:r>
      <w:r w:rsidR="0098266E" w:rsidRPr="007E3C5E">
        <w:rPr>
          <w:rFonts w:eastAsia="Segoe UI" w:cs="Segoe UI"/>
        </w:rPr>
        <w:t>racial</w:t>
      </w:r>
      <w:r w:rsidRPr="007D4F53">
        <w:rPr>
          <w:rFonts w:eastAsia="Segoe UI" w:cs="Segoe UI"/>
        </w:rPr>
        <w:t xml:space="preserve"> equality, The Dudley Group NHS Foundation Trust has developed a focused action plan aligned with the Workforce </w:t>
      </w:r>
      <w:r w:rsidR="0098266E" w:rsidRPr="007E3C5E">
        <w:rPr>
          <w:rFonts w:eastAsia="Segoe UI" w:cs="Segoe UI"/>
        </w:rPr>
        <w:t>Race</w:t>
      </w:r>
      <w:r w:rsidRPr="007D4F53">
        <w:rPr>
          <w:rFonts w:eastAsia="Segoe UI" w:cs="Segoe UI"/>
        </w:rPr>
        <w:t xml:space="preserve"> Equality Standard (W</w:t>
      </w:r>
      <w:r w:rsidR="0098266E" w:rsidRPr="007E3C5E">
        <w:rPr>
          <w:rFonts w:eastAsia="Segoe UI" w:cs="Segoe UI"/>
        </w:rPr>
        <w:t>R</w:t>
      </w:r>
      <w:r w:rsidRPr="007D4F53">
        <w:rPr>
          <w:rFonts w:eastAsia="Segoe UI" w:cs="Segoe UI"/>
        </w:rPr>
        <w:t>ES). This plan addresses the disparities identified in our 2025 data and supports our broader Equality, Diversity, and Inclusion (EDI) Workforce Journey (2023–2025).</w:t>
      </w:r>
    </w:p>
    <w:p w14:paraId="430F03F6" w14:textId="70D08D43" w:rsidR="2F100E8C" w:rsidRPr="007E3C5E" w:rsidRDefault="2F100E8C" w:rsidP="00962664">
      <w:pPr>
        <w:spacing w:before="120" w:after="60"/>
        <w:rPr>
          <w:rFonts w:eastAsia="Segoe UI" w:cs="Segoe UI"/>
        </w:rPr>
      </w:pPr>
      <w:r w:rsidRPr="007E3C5E">
        <w:rPr>
          <w:rFonts w:eastAsia="Segoe UI" w:cs="Segoe UI"/>
        </w:rPr>
        <w:t>The plan focuses on removing systemic barriers and creating equitable opportunities for all staff, particularly those from ethnically diverse backgrounds. It is structured around the nine WRES metrics and prioritises inclusive leadership, fair recruitment, equitable development, and a zero-tolerance approach to discrimination and harassment.</w:t>
      </w:r>
    </w:p>
    <w:p w14:paraId="2A8B69F9" w14:textId="610DCFE4" w:rsidR="009E573A" w:rsidRDefault="008D5D78" w:rsidP="00962664">
      <w:pPr>
        <w:spacing w:before="120" w:after="60"/>
        <w:rPr>
          <w:rFonts w:eastAsia="Segoe UI" w:cs="Segoe UI"/>
          <w:color w:val="424242"/>
        </w:rPr>
      </w:pPr>
      <w:r w:rsidRPr="008D5D78">
        <w:rPr>
          <w:rFonts w:eastAsia="Segoe UI" w:cs="Segoe UI"/>
        </w:rPr>
        <w:t xml:space="preserve">Our approach is holistic, evidence-based, and rooted in lived experience. It aims to create a workplace where disabled staff and those with long-term conditions feel safe, supported, and empowered to thrive. Below is a summary of our short, medium and </w:t>
      </w:r>
      <w:r w:rsidR="009E573A" w:rsidRPr="007E3C5E">
        <w:rPr>
          <w:rFonts w:eastAsia="Segoe UI" w:cs="Segoe UI"/>
        </w:rPr>
        <w:t>long-term</w:t>
      </w:r>
      <w:r w:rsidRPr="008D5D78">
        <w:rPr>
          <w:rFonts w:eastAsia="Segoe UI" w:cs="Segoe UI"/>
        </w:rPr>
        <w:t xml:space="preserve"> actions</w:t>
      </w:r>
      <w:r w:rsidR="009E573A" w:rsidRPr="007E3C5E">
        <w:rPr>
          <w:rFonts w:eastAsia="Segoe UI" w:cs="Segoe UI"/>
        </w:rPr>
        <w:t>.</w:t>
      </w:r>
      <w:r w:rsidRPr="008D5D78">
        <w:rPr>
          <w:rFonts w:eastAsia="Segoe UI" w:cs="Segoe UI"/>
        </w:rPr>
        <w:t xml:space="preserve"> </w:t>
      </w:r>
      <w:r w:rsidR="009E573A" w:rsidRPr="007E3C5E">
        <w:rPr>
          <w:rFonts w:eastAsia="Segoe UI" w:cs="Segoe UI"/>
        </w:rPr>
        <w:t>Our</w:t>
      </w:r>
      <w:r w:rsidRPr="008D5D78">
        <w:rPr>
          <w:rFonts w:eastAsia="Segoe UI" w:cs="Segoe UI"/>
        </w:rPr>
        <w:t xml:space="preserve"> detailed action plan can be viewed here: </w:t>
      </w:r>
      <w:hyperlink r:id="rId30" w:history="1">
        <w:r w:rsidRPr="008D5D78">
          <w:rPr>
            <w:rStyle w:val="Hyperlink"/>
            <w:rFonts w:eastAsia="Segoe UI" w:cs="Segoe UI"/>
          </w:rPr>
          <w:t>EDI Journey Actions</w:t>
        </w:r>
      </w:hyperlink>
    </w:p>
    <w:p w14:paraId="7F36DF4E" w14:textId="208FCF67" w:rsidR="009E573A" w:rsidRDefault="009E573A" w:rsidP="009E573A">
      <w:pPr>
        <w:spacing w:before="120" w:after="60"/>
        <w:rPr>
          <w:rFonts w:eastAsia="Segoe UI" w:cs="Segoe UI"/>
          <w:b/>
          <w:bCs/>
          <w:color w:val="424242"/>
        </w:rPr>
      </w:pPr>
      <w:r w:rsidRPr="009E573A">
        <w:rPr>
          <w:rFonts w:eastAsia="Segoe UI" w:cs="Segoe UI"/>
          <w:b/>
          <w:bCs/>
          <w:color w:val="424242"/>
        </w:rPr>
        <w:t>Short-Term Actions (0–6 months)</w:t>
      </w:r>
      <w:r w:rsidR="00E8234C">
        <w:rPr>
          <w:rFonts w:eastAsia="Segoe UI" w:cs="Segoe UI"/>
          <w:b/>
          <w:bCs/>
          <w:color w:val="424242"/>
        </w:rPr>
        <w:t xml:space="preserve"> – Actions to build awareness and lay the foundation:</w:t>
      </w:r>
    </w:p>
    <w:p w14:paraId="6EC32279" w14:textId="5BCB0021" w:rsidR="00B702BE" w:rsidRPr="00B702BE" w:rsidRDefault="00C645C4" w:rsidP="00B702BE">
      <w:pPr>
        <w:spacing w:before="120" w:after="60"/>
        <w:rPr>
          <w:rFonts w:eastAsia="Segoe UI" w:cs="Segoe UI"/>
          <w:b/>
          <w:bCs/>
          <w:color w:val="424242"/>
        </w:rPr>
      </w:pPr>
      <w:r>
        <w:rPr>
          <w:rFonts w:eastAsia="Segoe UI" w:cs="Segoe UI"/>
          <w:b/>
          <w:bCs/>
          <w:color w:val="424242"/>
        </w:rPr>
        <w:t>Workforce Representation</w:t>
      </w:r>
      <w:r w:rsidR="008603DB">
        <w:rPr>
          <w:rFonts w:eastAsia="Segoe UI" w:cs="Segoe UI"/>
          <w:b/>
          <w:bCs/>
          <w:color w:val="424242"/>
        </w:rPr>
        <w:t>,</w:t>
      </w:r>
      <w:r>
        <w:rPr>
          <w:rFonts w:eastAsia="Segoe UI" w:cs="Segoe UI"/>
          <w:b/>
          <w:bCs/>
          <w:color w:val="424242"/>
        </w:rPr>
        <w:t xml:space="preserve"> </w:t>
      </w:r>
      <w:r w:rsidR="00B702BE" w:rsidRPr="00B702BE">
        <w:rPr>
          <w:rFonts w:eastAsia="Segoe UI" w:cs="Segoe UI"/>
          <w:b/>
          <w:bCs/>
          <w:color w:val="424242"/>
        </w:rPr>
        <w:t xml:space="preserve">Recruitment </w:t>
      </w:r>
      <w:r w:rsidR="008603DB">
        <w:rPr>
          <w:rFonts w:eastAsia="Segoe UI" w:cs="Segoe UI"/>
          <w:b/>
          <w:bCs/>
          <w:color w:val="424242"/>
        </w:rPr>
        <w:t>&amp; Promotion Equity</w:t>
      </w:r>
    </w:p>
    <w:p w14:paraId="01BAA0B5" w14:textId="49F40392" w:rsidR="00B702BE" w:rsidRPr="008D6570" w:rsidRDefault="00350C4A" w:rsidP="003F05A4">
      <w:pPr>
        <w:pStyle w:val="ListParagraph"/>
        <w:numPr>
          <w:ilvl w:val="0"/>
          <w:numId w:val="7"/>
        </w:numPr>
        <w:rPr>
          <w:rFonts w:eastAsia="Segoe UI" w:cs="Segoe UI"/>
          <w:color w:val="424242"/>
        </w:rPr>
      </w:pPr>
      <w:r w:rsidRPr="00350C4A">
        <w:rPr>
          <w:rFonts w:eastAsia="Segoe UI" w:cs="Segoe UI"/>
          <w:color w:val="424242"/>
        </w:rPr>
        <w:t>Continue to train all recruiting managers on inclusive recruitment.</w:t>
      </w:r>
    </w:p>
    <w:p w14:paraId="72CCBCAE" w14:textId="3C6E67A7" w:rsidR="004A4CE8" w:rsidRPr="000F2043" w:rsidRDefault="00B702BE" w:rsidP="00B702BE">
      <w:pPr>
        <w:pStyle w:val="ListParagraph"/>
        <w:numPr>
          <w:ilvl w:val="0"/>
          <w:numId w:val="7"/>
        </w:numPr>
        <w:spacing w:before="120" w:after="60"/>
        <w:rPr>
          <w:rFonts w:eastAsia="Segoe UI" w:cs="Segoe UI"/>
          <w:color w:val="424242"/>
        </w:rPr>
      </w:pPr>
      <w:r w:rsidRPr="008603DB">
        <w:rPr>
          <w:rFonts w:eastAsia="Segoe UI" w:cs="Segoe UI"/>
          <w:color w:val="424242"/>
        </w:rPr>
        <w:t>Promote cultural awareness through events and campaigns that reflect workforce diversity.</w:t>
      </w:r>
    </w:p>
    <w:p w14:paraId="651F74C3" w14:textId="11CFFA94" w:rsidR="00B702BE" w:rsidRPr="00B702BE" w:rsidRDefault="00B702BE" w:rsidP="00B702BE">
      <w:pPr>
        <w:spacing w:before="120" w:after="60"/>
        <w:rPr>
          <w:rFonts w:eastAsia="Segoe UI" w:cs="Segoe UI"/>
          <w:b/>
          <w:bCs/>
          <w:color w:val="424242"/>
        </w:rPr>
      </w:pPr>
      <w:r w:rsidRPr="00B702BE">
        <w:rPr>
          <w:rFonts w:eastAsia="Segoe UI" w:cs="Segoe UI"/>
          <w:b/>
          <w:bCs/>
          <w:color w:val="424242"/>
        </w:rPr>
        <w:t>Training and Development</w:t>
      </w:r>
    </w:p>
    <w:p w14:paraId="02CF4837" w14:textId="3A99D355" w:rsidR="00B702BE" w:rsidRPr="00B702BE" w:rsidRDefault="00B702BE" w:rsidP="003F05A4">
      <w:pPr>
        <w:numPr>
          <w:ilvl w:val="0"/>
          <w:numId w:val="4"/>
        </w:numPr>
        <w:spacing w:before="120" w:after="60"/>
        <w:rPr>
          <w:rFonts w:eastAsia="Segoe UI" w:cs="Segoe UI"/>
        </w:rPr>
      </w:pPr>
      <w:r w:rsidRPr="00B702BE">
        <w:rPr>
          <w:rFonts w:eastAsia="Segoe UI" w:cs="Segoe UI"/>
        </w:rPr>
        <w:t>Ensure all managers complete</w:t>
      </w:r>
      <w:r w:rsidR="001835BC" w:rsidRPr="007E3C5E">
        <w:rPr>
          <w:rFonts w:eastAsia="Segoe UI" w:cs="Segoe UI"/>
        </w:rPr>
        <w:t xml:space="preserve"> the </w:t>
      </w:r>
      <w:r w:rsidR="00604F3E" w:rsidRPr="007E3C5E">
        <w:rPr>
          <w:rFonts w:eastAsia="Segoe UI" w:cs="Segoe UI"/>
        </w:rPr>
        <w:t>Manager's</w:t>
      </w:r>
      <w:r w:rsidR="001835BC" w:rsidRPr="007E3C5E">
        <w:rPr>
          <w:rFonts w:eastAsia="Segoe UI" w:cs="Segoe UI"/>
        </w:rPr>
        <w:t xml:space="preserve"> Essentials training, covering</w:t>
      </w:r>
      <w:r w:rsidRPr="00B702BE">
        <w:rPr>
          <w:rFonts w:eastAsia="Segoe UI" w:cs="Segoe UI"/>
        </w:rPr>
        <w:t> bias awareness training on fairness and cultural competence.</w:t>
      </w:r>
    </w:p>
    <w:p w14:paraId="6512249E" w14:textId="77777777" w:rsidR="00B702BE" w:rsidRPr="00B702BE" w:rsidRDefault="00B702BE" w:rsidP="00B702BE">
      <w:pPr>
        <w:spacing w:before="120" w:after="60"/>
        <w:rPr>
          <w:rFonts w:eastAsia="Segoe UI" w:cs="Segoe UI"/>
          <w:b/>
          <w:bCs/>
          <w:color w:val="424242"/>
        </w:rPr>
      </w:pPr>
      <w:r w:rsidRPr="00B702BE">
        <w:rPr>
          <w:rFonts w:eastAsia="Segoe UI" w:cs="Segoe UI"/>
          <w:b/>
          <w:bCs/>
          <w:color w:val="424242"/>
        </w:rPr>
        <w:t>Disciplinary and Grievance Processes</w:t>
      </w:r>
    </w:p>
    <w:p w14:paraId="7CA6B6D1" w14:textId="22C074C7" w:rsidR="001C6EDF" w:rsidRPr="001C6EDF" w:rsidRDefault="00604F3E" w:rsidP="003F05A4">
      <w:pPr>
        <w:numPr>
          <w:ilvl w:val="0"/>
          <w:numId w:val="5"/>
        </w:numPr>
        <w:spacing w:before="120" w:after="60"/>
        <w:rPr>
          <w:rFonts w:eastAsia="Segoe UI" w:cs="Segoe UI"/>
          <w:b/>
          <w:bCs/>
          <w:color w:val="424242"/>
        </w:rPr>
      </w:pPr>
      <w:r w:rsidRPr="001C6EDF">
        <w:rPr>
          <w:rFonts w:eastAsia="Segoe UI" w:cs="Segoe UI"/>
          <w:color w:val="424242"/>
        </w:rPr>
        <w:t>Continue</w:t>
      </w:r>
      <w:r w:rsidR="00B702BE" w:rsidRPr="00B702BE">
        <w:rPr>
          <w:rFonts w:eastAsia="Segoe UI" w:cs="Segoe UI"/>
          <w:color w:val="424242"/>
        </w:rPr>
        <w:t> tracking disciplinary outcomes by ethnicity to identify disparities</w:t>
      </w:r>
      <w:r w:rsidR="001C6EDF">
        <w:rPr>
          <w:rFonts w:eastAsia="Segoe UI" w:cs="Segoe UI"/>
          <w:color w:val="424242"/>
        </w:rPr>
        <w:t>.</w:t>
      </w:r>
    </w:p>
    <w:p w14:paraId="346478E0" w14:textId="023C2961" w:rsidR="001C6EDF" w:rsidRPr="001C6EDF" w:rsidRDefault="001C6EDF" w:rsidP="003F05A4">
      <w:pPr>
        <w:pStyle w:val="ListParagraph"/>
        <w:numPr>
          <w:ilvl w:val="0"/>
          <w:numId w:val="5"/>
        </w:numPr>
        <w:rPr>
          <w:rFonts w:eastAsia="Segoe UI" w:cs="Segoe UI"/>
          <w:color w:val="424242"/>
        </w:rPr>
      </w:pPr>
      <w:r w:rsidRPr="001C6EDF">
        <w:rPr>
          <w:rFonts w:eastAsia="Segoe UI" w:cs="Segoe UI"/>
          <w:color w:val="424242"/>
        </w:rPr>
        <w:t>Encourage early resolution through mediation and restorative practices.</w:t>
      </w:r>
    </w:p>
    <w:p w14:paraId="041CA374" w14:textId="52A41AD8" w:rsidR="00B702BE" w:rsidRPr="00B702BE" w:rsidRDefault="00B702BE" w:rsidP="001C6EDF">
      <w:pPr>
        <w:spacing w:before="120" w:after="60"/>
        <w:rPr>
          <w:rFonts w:eastAsia="Segoe UI" w:cs="Segoe UI"/>
          <w:b/>
          <w:bCs/>
          <w:color w:val="424242"/>
        </w:rPr>
      </w:pPr>
      <w:r w:rsidRPr="00B702BE">
        <w:rPr>
          <w:rFonts w:eastAsia="Segoe UI" w:cs="Segoe UI"/>
          <w:b/>
          <w:bCs/>
          <w:color w:val="424242"/>
        </w:rPr>
        <w:t>Harassment, Bullying, and Abuse</w:t>
      </w:r>
    </w:p>
    <w:p w14:paraId="59B74965" w14:textId="4B2F4F52" w:rsidR="00B702BE" w:rsidRDefault="00422CDD" w:rsidP="003F05A4">
      <w:pPr>
        <w:pStyle w:val="ListParagraph"/>
        <w:numPr>
          <w:ilvl w:val="0"/>
          <w:numId w:val="8"/>
        </w:numPr>
        <w:spacing w:before="120" w:after="60"/>
        <w:rPr>
          <w:rFonts w:eastAsia="Segoe UI" w:cs="Segoe UI"/>
          <w:color w:val="424242"/>
        </w:rPr>
      </w:pPr>
      <w:r w:rsidRPr="007F1F1B">
        <w:rPr>
          <w:rFonts w:eastAsia="Segoe UI" w:cs="Segoe UI"/>
          <w:color w:val="424242"/>
        </w:rPr>
        <w:t>Reinforce</w:t>
      </w:r>
      <w:r w:rsidR="00B702BE" w:rsidRPr="007F1F1B">
        <w:rPr>
          <w:rFonts w:eastAsia="Segoe UI" w:cs="Segoe UI"/>
          <w:color w:val="424242"/>
        </w:rPr>
        <w:t> </w:t>
      </w:r>
      <w:r w:rsidRPr="007F1F1B">
        <w:rPr>
          <w:rFonts w:eastAsia="Segoe UI" w:cs="Segoe UI"/>
          <w:color w:val="424242"/>
        </w:rPr>
        <w:t xml:space="preserve">the </w:t>
      </w:r>
      <w:r w:rsidR="00B702BE" w:rsidRPr="007F1F1B">
        <w:rPr>
          <w:rFonts w:eastAsia="Segoe UI" w:cs="Segoe UI"/>
          <w:color w:val="424242"/>
        </w:rPr>
        <w:t>Zero Tolerance Campaign to address abuse from the public.</w:t>
      </w:r>
    </w:p>
    <w:p w14:paraId="35E1228D" w14:textId="3BB7265D" w:rsidR="001A5700" w:rsidRPr="001A5700" w:rsidRDefault="001A5700" w:rsidP="003F05A4">
      <w:pPr>
        <w:pStyle w:val="ListParagraph"/>
        <w:numPr>
          <w:ilvl w:val="0"/>
          <w:numId w:val="8"/>
        </w:numPr>
        <w:rPr>
          <w:rFonts w:eastAsia="Segoe UI" w:cs="Segoe UI"/>
          <w:color w:val="424242"/>
        </w:rPr>
      </w:pPr>
      <w:r w:rsidRPr="001A5700">
        <w:rPr>
          <w:rFonts w:eastAsia="Segoe UI" w:cs="Segoe UI"/>
          <w:color w:val="424242"/>
        </w:rPr>
        <w:t>Train managers on inclusion and conflict resolution.</w:t>
      </w:r>
    </w:p>
    <w:p w14:paraId="021543A7" w14:textId="76D8FC73" w:rsidR="00FA4005" w:rsidRPr="00FA4005" w:rsidRDefault="00FA4005" w:rsidP="003F05A4">
      <w:pPr>
        <w:pStyle w:val="ListParagraph"/>
        <w:numPr>
          <w:ilvl w:val="0"/>
          <w:numId w:val="8"/>
        </w:numPr>
        <w:rPr>
          <w:rFonts w:eastAsia="Segoe UI" w:cs="Segoe UI"/>
          <w:color w:val="424242"/>
        </w:rPr>
      </w:pPr>
      <w:r w:rsidRPr="00FA4005">
        <w:rPr>
          <w:rFonts w:eastAsia="Segoe UI" w:cs="Segoe UI"/>
          <w:color w:val="424242"/>
        </w:rPr>
        <w:t>Research real-time reporting tools</w:t>
      </w:r>
    </w:p>
    <w:p w14:paraId="545E91A1" w14:textId="77777777" w:rsidR="00B702BE" w:rsidRPr="00B702BE" w:rsidRDefault="00B702BE" w:rsidP="00B702BE">
      <w:pPr>
        <w:spacing w:before="120" w:after="60"/>
        <w:rPr>
          <w:rFonts w:eastAsia="Segoe UI" w:cs="Segoe UI"/>
          <w:b/>
          <w:bCs/>
          <w:color w:val="424242"/>
        </w:rPr>
      </w:pPr>
      <w:r w:rsidRPr="00B702BE">
        <w:rPr>
          <w:rFonts w:eastAsia="Segoe UI" w:cs="Segoe UI"/>
          <w:b/>
          <w:bCs/>
          <w:color w:val="424242"/>
        </w:rPr>
        <w:t>Leadership and Accountability</w:t>
      </w:r>
    </w:p>
    <w:p w14:paraId="4B05B1F7" w14:textId="77777777" w:rsidR="00B702BE" w:rsidRPr="005230D2" w:rsidRDefault="00B702BE" w:rsidP="003F05A4">
      <w:pPr>
        <w:pStyle w:val="ListParagraph"/>
        <w:numPr>
          <w:ilvl w:val="0"/>
          <w:numId w:val="10"/>
        </w:numPr>
        <w:spacing w:before="120" w:after="60"/>
        <w:rPr>
          <w:rFonts w:eastAsia="Segoe UI" w:cs="Segoe UI"/>
          <w:color w:val="424242"/>
        </w:rPr>
      </w:pPr>
      <w:r w:rsidRPr="005230D2">
        <w:rPr>
          <w:rFonts w:eastAsia="Segoe UI" w:cs="Segoe UI"/>
          <w:color w:val="424242"/>
        </w:rPr>
        <w:t>Share regular updates on progress, challenges, and next steps to build transparency.</w:t>
      </w:r>
    </w:p>
    <w:p w14:paraId="52D8CFFD" w14:textId="4666FB7A" w:rsidR="007E3C5E" w:rsidRPr="00F87F39" w:rsidRDefault="005230D2" w:rsidP="00F87F39">
      <w:pPr>
        <w:pStyle w:val="ListParagraph"/>
        <w:numPr>
          <w:ilvl w:val="0"/>
          <w:numId w:val="10"/>
        </w:numPr>
        <w:rPr>
          <w:rFonts w:eastAsia="Segoe UI" w:cs="Segoe UI"/>
          <w:color w:val="424242"/>
        </w:rPr>
      </w:pPr>
      <w:r w:rsidRPr="005230D2">
        <w:rPr>
          <w:rFonts w:eastAsia="Segoe UI" w:cs="Segoe UI"/>
          <w:color w:val="424242"/>
        </w:rPr>
        <w:t>Increase and promote inclusive mentoring and sponsorship programme.</w:t>
      </w:r>
    </w:p>
    <w:p w14:paraId="5E13C260" w14:textId="46129B33" w:rsidR="009E573A" w:rsidRDefault="00DE2C08" w:rsidP="00DE2C08">
      <w:pPr>
        <w:spacing w:before="120" w:after="60"/>
        <w:rPr>
          <w:rFonts w:eastAsia="Segoe UI" w:cs="Segoe UI"/>
          <w:b/>
          <w:bCs/>
          <w:color w:val="424242"/>
        </w:rPr>
      </w:pPr>
      <w:r w:rsidRPr="00DE2C08">
        <w:rPr>
          <w:rFonts w:eastAsia="Segoe UI" w:cs="Segoe UI"/>
          <w:b/>
          <w:bCs/>
          <w:color w:val="424242"/>
        </w:rPr>
        <w:lastRenderedPageBreak/>
        <w:t xml:space="preserve">Medium-Term Goals (6–18 months) - Embed practices and expand support </w:t>
      </w:r>
      <w:r w:rsidR="00A07657">
        <w:rPr>
          <w:rFonts w:eastAsia="Segoe UI" w:cs="Segoe UI"/>
          <w:b/>
          <w:bCs/>
          <w:color w:val="424242"/>
        </w:rPr>
        <w:t>Race</w:t>
      </w:r>
      <w:r w:rsidRPr="00DE2C08">
        <w:rPr>
          <w:rFonts w:eastAsia="Segoe UI" w:cs="Segoe UI"/>
          <w:b/>
          <w:bCs/>
          <w:color w:val="424242"/>
        </w:rPr>
        <w:t xml:space="preserve"> Representation &amp; Recruitment Equity</w:t>
      </w:r>
    </w:p>
    <w:p w14:paraId="5B0A6F11" w14:textId="457636A2" w:rsidR="009B7265" w:rsidRPr="009B7265" w:rsidRDefault="0093434A" w:rsidP="009B7265">
      <w:pPr>
        <w:spacing w:before="120" w:after="60"/>
        <w:rPr>
          <w:rFonts w:eastAsia="Segoe UI" w:cs="Segoe UI"/>
          <w:b/>
          <w:bCs/>
          <w:color w:val="424242"/>
        </w:rPr>
      </w:pPr>
      <w:r w:rsidRPr="009B7265">
        <w:rPr>
          <w:rFonts w:eastAsia="Segoe UI" w:cs="Segoe UI"/>
          <w:b/>
          <w:bCs/>
          <w:color w:val="424242"/>
        </w:rPr>
        <w:t>Workforce Representation</w:t>
      </w:r>
      <w:r>
        <w:rPr>
          <w:rFonts w:eastAsia="Segoe UI" w:cs="Segoe UI"/>
          <w:b/>
          <w:bCs/>
          <w:color w:val="424242"/>
        </w:rPr>
        <w:t xml:space="preserve">, </w:t>
      </w:r>
      <w:r w:rsidR="009B7265" w:rsidRPr="009B7265">
        <w:rPr>
          <w:rFonts w:eastAsia="Segoe UI" w:cs="Segoe UI"/>
          <w:b/>
          <w:bCs/>
          <w:color w:val="424242"/>
        </w:rPr>
        <w:t>Recruitment and Promotion</w:t>
      </w:r>
    </w:p>
    <w:p w14:paraId="3A53B340" w14:textId="77777777" w:rsidR="009B7265" w:rsidRPr="00A07657" w:rsidRDefault="009B7265" w:rsidP="003F05A4">
      <w:pPr>
        <w:pStyle w:val="ListParagraph"/>
        <w:numPr>
          <w:ilvl w:val="0"/>
          <w:numId w:val="9"/>
        </w:numPr>
        <w:spacing w:before="120" w:after="60"/>
        <w:rPr>
          <w:rFonts w:eastAsia="Segoe UI" w:cs="Segoe UI"/>
          <w:color w:val="424242"/>
        </w:rPr>
      </w:pPr>
      <w:r w:rsidRPr="00A07657">
        <w:rPr>
          <w:rFonts w:eastAsia="Segoe UI" w:cs="Segoe UI"/>
          <w:color w:val="424242"/>
        </w:rPr>
        <w:t>Review succession planning and talent identification for inclusivity.</w:t>
      </w:r>
    </w:p>
    <w:p w14:paraId="38106116" w14:textId="77777777" w:rsidR="009B7265" w:rsidRPr="00A07657" w:rsidRDefault="009B7265" w:rsidP="003F05A4">
      <w:pPr>
        <w:pStyle w:val="ListParagraph"/>
        <w:numPr>
          <w:ilvl w:val="0"/>
          <w:numId w:val="9"/>
        </w:numPr>
        <w:spacing w:before="120" w:after="60"/>
        <w:rPr>
          <w:rFonts w:eastAsia="Segoe UI" w:cs="Segoe UI"/>
          <w:color w:val="424242"/>
        </w:rPr>
      </w:pPr>
      <w:r w:rsidRPr="00A07657">
        <w:rPr>
          <w:rFonts w:eastAsia="Segoe UI" w:cs="Segoe UI"/>
          <w:color w:val="424242"/>
        </w:rPr>
        <w:t>Audit promotion and talent processes for potential bias.</w:t>
      </w:r>
    </w:p>
    <w:p w14:paraId="15B4EFE8" w14:textId="5374AA9F" w:rsidR="00D94778" w:rsidRDefault="00D94778" w:rsidP="003F05A4">
      <w:pPr>
        <w:pStyle w:val="ListParagraph"/>
        <w:numPr>
          <w:ilvl w:val="0"/>
          <w:numId w:val="9"/>
        </w:numPr>
        <w:rPr>
          <w:rFonts w:eastAsia="Segoe UI" w:cs="Segoe UI"/>
          <w:color w:val="424242"/>
        </w:rPr>
      </w:pPr>
      <w:r w:rsidRPr="00A07657">
        <w:rPr>
          <w:rFonts w:eastAsia="Segoe UI" w:cs="Segoe UI"/>
          <w:color w:val="424242"/>
        </w:rPr>
        <w:t>Ensure diverse panels for senior roles.</w:t>
      </w:r>
    </w:p>
    <w:p w14:paraId="625ECB56" w14:textId="77777777" w:rsidR="0093434A" w:rsidRDefault="0073632B" w:rsidP="003F05A4">
      <w:pPr>
        <w:pStyle w:val="ListParagraph"/>
        <w:numPr>
          <w:ilvl w:val="0"/>
          <w:numId w:val="9"/>
        </w:numPr>
        <w:rPr>
          <w:rFonts w:eastAsia="Segoe UI" w:cs="Segoe UI"/>
          <w:color w:val="424242"/>
        </w:rPr>
      </w:pPr>
      <w:r w:rsidRPr="0073632B">
        <w:rPr>
          <w:rFonts w:eastAsia="Segoe UI" w:cs="Segoe UI"/>
          <w:color w:val="424242"/>
        </w:rPr>
        <w:t xml:space="preserve">Set targets for </w:t>
      </w:r>
      <w:r w:rsidR="001821A6">
        <w:rPr>
          <w:rFonts w:eastAsia="Segoe UI" w:cs="Segoe UI"/>
          <w:color w:val="424242"/>
        </w:rPr>
        <w:t>ethnicity</w:t>
      </w:r>
      <w:r w:rsidRPr="0073632B">
        <w:rPr>
          <w:rFonts w:eastAsia="Segoe UI" w:cs="Segoe UI"/>
          <w:color w:val="424242"/>
        </w:rPr>
        <w:t xml:space="preserve"> representation at senior levels.</w:t>
      </w:r>
    </w:p>
    <w:p w14:paraId="5123D580" w14:textId="5479DEA2" w:rsidR="009B7265" w:rsidRPr="0093434A" w:rsidRDefault="009B7265" w:rsidP="003F05A4">
      <w:pPr>
        <w:pStyle w:val="ListParagraph"/>
        <w:numPr>
          <w:ilvl w:val="0"/>
          <w:numId w:val="9"/>
        </w:numPr>
        <w:rPr>
          <w:rFonts w:eastAsia="Segoe UI" w:cs="Segoe UI"/>
          <w:color w:val="424242"/>
        </w:rPr>
      </w:pPr>
      <w:r w:rsidRPr="0093434A">
        <w:rPr>
          <w:rFonts w:eastAsia="Segoe UI" w:cs="Segoe UI"/>
          <w:color w:val="424242"/>
        </w:rPr>
        <w:t>Strengthen the </w:t>
      </w:r>
      <w:proofErr w:type="spellStart"/>
      <w:r w:rsidRPr="0093434A">
        <w:rPr>
          <w:rFonts w:eastAsia="Segoe UI" w:cs="Segoe UI"/>
          <w:color w:val="424242"/>
        </w:rPr>
        <w:t>EmbRACE</w:t>
      </w:r>
      <w:proofErr w:type="spellEnd"/>
      <w:r w:rsidRPr="0093434A">
        <w:rPr>
          <w:rFonts w:eastAsia="Segoe UI" w:cs="Segoe UI"/>
          <w:color w:val="424242"/>
        </w:rPr>
        <w:t xml:space="preserve"> Staff Network and other staff </w:t>
      </w:r>
      <w:r w:rsidR="00A07657" w:rsidRPr="0093434A">
        <w:rPr>
          <w:rFonts w:eastAsia="Segoe UI" w:cs="Segoe UI"/>
          <w:color w:val="424242"/>
        </w:rPr>
        <w:t>networks</w:t>
      </w:r>
      <w:r w:rsidRPr="0093434A">
        <w:rPr>
          <w:rFonts w:eastAsia="Segoe UI" w:cs="Segoe UI"/>
          <w:color w:val="424242"/>
        </w:rPr>
        <w:t>.</w:t>
      </w:r>
    </w:p>
    <w:p w14:paraId="00CBCA06" w14:textId="77777777" w:rsidR="009B7265" w:rsidRPr="009B7265" w:rsidRDefault="009B7265" w:rsidP="009B7265">
      <w:pPr>
        <w:spacing w:before="120" w:after="60"/>
        <w:rPr>
          <w:rFonts w:eastAsia="Segoe UI" w:cs="Segoe UI"/>
          <w:b/>
          <w:bCs/>
          <w:color w:val="424242"/>
        </w:rPr>
      </w:pPr>
      <w:r w:rsidRPr="009B7265">
        <w:rPr>
          <w:rFonts w:eastAsia="Segoe UI" w:cs="Segoe UI"/>
          <w:b/>
          <w:bCs/>
          <w:color w:val="424242"/>
        </w:rPr>
        <w:t>Disciplinary and Grievance Processes</w:t>
      </w:r>
    </w:p>
    <w:p w14:paraId="25120313" w14:textId="77777777" w:rsidR="009B7265" w:rsidRPr="006A6089" w:rsidRDefault="009B7265" w:rsidP="003F05A4">
      <w:pPr>
        <w:pStyle w:val="ListParagraph"/>
        <w:numPr>
          <w:ilvl w:val="0"/>
          <w:numId w:val="11"/>
        </w:numPr>
        <w:spacing w:before="120" w:after="60"/>
        <w:rPr>
          <w:rFonts w:eastAsia="Segoe UI" w:cs="Segoe UI"/>
          <w:color w:val="424242"/>
        </w:rPr>
      </w:pPr>
      <w:r w:rsidRPr="006A6089">
        <w:rPr>
          <w:rFonts w:eastAsia="Segoe UI" w:cs="Segoe UI"/>
          <w:color w:val="424242"/>
        </w:rPr>
        <w:t>Promote Just Culture practices such as early resolution and mediation.</w:t>
      </w:r>
    </w:p>
    <w:p w14:paraId="3F0CC0E7" w14:textId="77777777" w:rsidR="009B7265" w:rsidRPr="006A6089" w:rsidRDefault="009B7265" w:rsidP="003F05A4">
      <w:pPr>
        <w:pStyle w:val="ListParagraph"/>
        <w:numPr>
          <w:ilvl w:val="0"/>
          <w:numId w:val="11"/>
        </w:numPr>
        <w:spacing w:before="120" w:after="60"/>
        <w:rPr>
          <w:rFonts w:eastAsia="Segoe UI" w:cs="Segoe UI"/>
          <w:color w:val="424242"/>
        </w:rPr>
      </w:pPr>
      <w:r w:rsidRPr="006A6089">
        <w:rPr>
          <w:rFonts w:eastAsia="Segoe UI" w:cs="Segoe UI"/>
          <w:color w:val="424242"/>
        </w:rPr>
        <w:t>Introduce independent case review panels to assess disciplinary proportionality.</w:t>
      </w:r>
    </w:p>
    <w:p w14:paraId="67512A75" w14:textId="77777777" w:rsidR="009B7265" w:rsidRPr="009B7265" w:rsidRDefault="009B7265" w:rsidP="009B7265">
      <w:pPr>
        <w:spacing w:before="120" w:after="60"/>
        <w:rPr>
          <w:rFonts w:eastAsia="Segoe UI" w:cs="Segoe UI"/>
          <w:b/>
          <w:bCs/>
          <w:color w:val="424242"/>
        </w:rPr>
      </w:pPr>
      <w:r w:rsidRPr="009B7265">
        <w:rPr>
          <w:rFonts w:eastAsia="Segoe UI" w:cs="Segoe UI"/>
          <w:b/>
          <w:bCs/>
          <w:color w:val="424242"/>
        </w:rPr>
        <w:t>Harassment, Bullying, and Abuse</w:t>
      </w:r>
    </w:p>
    <w:p w14:paraId="2FD6A611" w14:textId="77777777" w:rsidR="009B7265" w:rsidRDefault="009B7265" w:rsidP="003F05A4">
      <w:pPr>
        <w:pStyle w:val="ListParagraph"/>
        <w:numPr>
          <w:ilvl w:val="0"/>
          <w:numId w:val="12"/>
        </w:numPr>
        <w:spacing w:before="120" w:after="60"/>
        <w:rPr>
          <w:rFonts w:eastAsia="Segoe UI" w:cs="Segoe UI"/>
          <w:color w:val="424242"/>
        </w:rPr>
      </w:pPr>
      <w:r w:rsidRPr="006A6089">
        <w:rPr>
          <w:rFonts w:eastAsia="Segoe UI" w:cs="Segoe UI"/>
          <w:color w:val="424242"/>
        </w:rPr>
        <w:t>Explore real-time reporting tools for abuse and structured follow-up.</w:t>
      </w:r>
    </w:p>
    <w:p w14:paraId="165A850F" w14:textId="77777777" w:rsidR="004368E2" w:rsidRPr="004368E2" w:rsidRDefault="004368E2" w:rsidP="003F05A4">
      <w:pPr>
        <w:pStyle w:val="ListParagraph"/>
        <w:numPr>
          <w:ilvl w:val="0"/>
          <w:numId w:val="12"/>
        </w:numPr>
        <w:rPr>
          <w:rFonts w:eastAsia="Segoe UI" w:cs="Segoe UI"/>
          <w:color w:val="424242"/>
        </w:rPr>
      </w:pPr>
      <w:r w:rsidRPr="004368E2">
        <w:rPr>
          <w:rFonts w:eastAsia="Segoe UI" w:cs="Segoe UI"/>
          <w:color w:val="424242"/>
        </w:rPr>
        <w:t>Increase visibility of Wellbeing Champions and Speak Up Guardians.</w:t>
      </w:r>
    </w:p>
    <w:p w14:paraId="5FD52119" w14:textId="20E30988" w:rsidR="004368E2" w:rsidRPr="001C721C" w:rsidRDefault="001C721C" w:rsidP="003F05A4">
      <w:pPr>
        <w:pStyle w:val="ListParagraph"/>
        <w:numPr>
          <w:ilvl w:val="0"/>
          <w:numId w:val="12"/>
        </w:numPr>
        <w:rPr>
          <w:rFonts w:eastAsia="Segoe UI" w:cs="Segoe UI"/>
          <w:color w:val="424242"/>
        </w:rPr>
      </w:pPr>
      <w:r w:rsidRPr="001C721C">
        <w:rPr>
          <w:rFonts w:eastAsia="Segoe UI" w:cs="Segoe UI"/>
          <w:color w:val="424242"/>
        </w:rPr>
        <w:t>Track and monitor inclusion goals from managers’ appraisals.</w:t>
      </w:r>
    </w:p>
    <w:p w14:paraId="1AAC1175" w14:textId="77777777" w:rsidR="009B7265" w:rsidRPr="009B7265" w:rsidRDefault="009B7265" w:rsidP="009B7265">
      <w:pPr>
        <w:spacing w:before="120" w:after="60"/>
        <w:rPr>
          <w:rFonts w:eastAsia="Segoe UI" w:cs="Segoe UI"/>
          <w:b/>
          <w:bCs/>
          <w:color w:val="424242"/>
        </w:rPr>
      </w:pPr>
      <w:r w:rsidRPr="009B7265">
        <w:rPr>
          <w:rFonts w:eastAsia="Segoe UI" w:cs="Segoe UI"/>
          <w:b/>
          <w:bCs/>
          <w:color w:val="424242"/>
        </w:rPr>
        <w:t>Leadership and Accountability</w:t>
      </w:r>
    </w:p>
    <w:p w14:paraId="7992DA5C" w14:textId="2281B77D" w:rsidR="004A4CE8" w:rsidRPr="000F2043" w:rsidRDefault="009B7265" w:rsidP="00DE2C08">
      <w:pPr>
        <w:numPr>
          <w:ilvl w:val="0"/>
          <w:numId w:val="6"/>
        </w:numPr>
        <w:spacing w:before="120" w:after="60"/>
        <w:rPr>
          <w:rFonts w:eastAsia="Segoe UI" w:cs="Segoe UI"/>
          <w:color w:val="424242"/>
        </w:rPr>
      </w:pPr>
      <w:r w:rsidRPr="009B7265">
        <w:rPr>
          <w:rFonts w:eastAsia="Segoe UI" w:cs="Segoe UI"/>
          <w:color w:val="424242"/>
        </w:rPr>
        <w:t>Highlight success stories of diverse role models and inclusive teams.</w:t>
      </w:r>
    </w:p>
    <w:p w14:paraId="29F6C53A" w14:textId="77777777" w:rsidR="008F1EB4" w:rsidRDefault="0040507B" w:rsidP="0040507B">
      <w:pPr>
        <w:spacing w:before="120" w:after="60"/>
        <w:rPr>
          <w:rFonts w:eastAsia="Segoe UI" w:cs="Segoe UI"/>
          <w:b/>
          <w:bCs/>
          <w:color w:val="424242"/>
        </w:rPr>
      </w:pPr>
      <w:r w:rsidRPr="0040507B">
        <w:rPr>
          <w:rFonts w:eastAsia="Segoe UI" w:cs="Segoe UI"/>
          <w:b/>
          <w:bCs/>
          <w:color w:val="424242"/>
        </w:rPr>
        <w:t>Long Term Goals (18+ months) - Drive cultural change and long-lasting impact</w:t>
      </w:r>
      <w:r>
        <w:rPr>
          <w:rFonts w:eastAsia="Segoe UI" w:cs="Segoe UI"/>
          <w:b/>
          <w:bCs/>
          <w:color w:val="424242"/>
        </w:rPr>
        <w:t xml:space="preserve"> </w:t>
      </w:r>
    </w:p>
    <w:p w14:paraId="210AFB16" w14:textId="1A20A544" w:rsidR="009E573A" w:rsidRPr="009E573A" w:rsidRDefault="00912ED1" w:rsidP="0040507B">
      <w:pPr>
        <w:spacing w:before="120" w:after="60"/>
        <w:rPr>
          <w:rFonts w:eastAsia="Segoe UI" w:cs="Segoe UI"/>
          <w:b/>
          <w:bCs/>
          <w:color w:val="424242"/>
        </w:rPr>
      </w:pPr>
      <w:r>
        <w:rPr>
          <w:rFonts w:eastAsia="Segoe UI" w:cs="Segoe UI"/>
          <w:b/>
          <w:bCs/>
          <w:color w:val="424242"/>
        </w:rPr>
        <w:t xml:space="preserve">Workforce </w:t>
      </w:r>
      <w:r w:rsidR="0040507B" w:rsidRPr="0040507B">
        <w:rPr>
          <w:rFonts w:eastAsia="Segoe UI" w:cs="Segoe UI"/>
          <w:b/>
          <w:bCs/>
          <w:color w:val="424242"/>
        </w:rPr>
        <w:t>Representation &amp; Recruitment Equity</w:t>
      </w:r>
    </w:p>
    <w:p w14:paraId="7E930F9C" w14:textId="77777777" w:rsidR="00C4727D" w:rsidRPr="00912ED1" w:rsidRDefault="00C4727D" w:rsidP="003F05A4">
      <w:pPr>
        <w:pStyle w:val="ListParagraph"/>
        <w:numPr>
          <w:ilvl w:val="0"/>
          <w:numId w:val="13"/>
        </w:numPr>
        <w:spacing w:before="120" w:after="60"/>
        <w:rPr>
          <w:rFonts w:eastAsia="Segoe UI" w:cs="Segoe UI"/>
          <w:color w:val="424242"/>
        </w:rPr>
      </w:pPr>
      <w:r w:rsidRPr="00912ED1">
        <w:rPr>
          <w:rFonts w:eastAsia="Segoe UI" w:cs="Segoe UI"/>
          <w:color w:val="424242"/>
        </w:rPr>
        <w:t>Promote positive action through NHS development programmes.</w:t>
      </w:r>
    </w:p>
    <w:p w14:paraId="6ACAC9FB" w14:textId="105736BD" w:rsidR="00C4727D" w:rsidRDefault="00C4727D" w:rsidP="003F05A4">
      <w:pPr>
        <w:pStyle w:val="ListParagraph"/>
        <w:numPr>
          <w:ilvl w:val="0"/>
          <w:numId w:val="13"/>
        </w:numPr>
        <w:spacing w:before="120" w:after="60"/>
        <w:rPr>
          <w:rFonts w:eastAsia="Segoe UI" w:cs="Segoe UI"/>
          <w:color w:val="424242"/>
        </w:rPr>
      </w:pPr>
      <w:r w:rsidRPr="00912ED1">
        <w:rPr>
          <w:rFonts w:eastAsia="Segoe UI" w:cs="Segoe UI"/>
          <w:color w:val="424242"/>
        </w:rPr>
        <w:t xml:space="preserve">Develop systems to track CPD and promotion activity by </w:t>
      </w:r>
      <w:r w:rsidR="001B42B0">
        <w:rPr>
          <w:rFonts w:eastAsia="Segoe UI" w:cs="Segoe UI"/>
          <w:color w:val="424242"/>
        </w:rPr>
        <w:t>protected characteristics</w:t>
      </w:r>
      <w:r w:rsidRPr="00912ED1">
        <w:rPr>
          <w:rFonts w:eastAsia="Segoe UI" w:cs="Segoe UI"/>
          <w:color w:val="424242"/>
        </w:rPr>
        <w:t>.</w:t>
      </w:r>
    </w:p>
    <w:p w14:paraId="15CDE756" w14:textId="77777777" w:rsidR="007E3935" w:rsidRPr="007E3935" w:rsidRDefault="007E3935" w:rsidP="003F05A4">
      <w:pPr>
        <w:pStyle w:val="ListParagraph"/>
        <w:numPr>
          <w:ilvl w:val="0"/>
          <w:numId w:val="13"/>
        </w:numPr>
        <w:spacing w:before="120" w:after="60"/>
        <w:rPr>
          <w:rFonts w:eastAsia="Segoe UI" w:cs="Segoe UI"/>
          <w:color w:val="424242"/>
        </w:rPr>
      </w:pPr>
      <w:r w:rsidRPr="007E3935">
        <w:rPr>
          <w:rFonts w:eastAsia="Segoe UI" w:cs="Segoe UI"/>
          <w:color w:val="424242"/>
        </w:rPr>
        <w:t>Fully embed inclusive recruitment practices across the organisation.</w:t>
      </w:r>
    </w:p>
    <w:p w14:paraId="1CEE6D7C" w14:textId="7D1341C3" w:rsidR="007E3935" w:rsidRPr="007E3935" w:rsidRDefault="007E3935" w:rsidP="003F05A4">
      <w:pPr>
        <w:pStyle w:val="ListParagraph"/>
        <w:numPr>
          <w:ilvl w:val="0"/>
          <w:numId w:val="13"/>
        </w:numPr>
        <w:spacing w:before="120" w:after="60"/>
        <w:rPr>
          <w:rFonts w:eastAsia="Segoe UI" w:cs="Segoe UI"/>
          <w:color w:val="424242"/>
        </w:rPr>
      </w:pPr>
      <w:r w:rsidRPr="007E3935">
        <w:rPr>
          <w:rFonts w:eastAsia="Segoe UI" w:cs="Segoe UI"/>
          <w:color w:val="424242"/>
        </w:rPr>
        <w:t>Review Board leadership pipelines to ensure accessibility and inclusion.</w:t>
      </w:r>
    </w:p>
    <w:p w14:paraId="3E3A4DF9" w14:textId="77777777" w:rsidR="00C4727D" w:rsidRPr="00C4727D" w:rsidRDefault="00C4727D" w:rsidP="008F1EB4">
      <w:pPr>
        <w:spacing w:before="120" w:after="60"/>
        <w:rPr>
          <w:rFonts w:eastAsia="Segoe UI" w:cs="Segoe UI"/>
          <w:b/>
          <w:bCs/>
          <w:color w:val="424242"/>
        </w:rPr>
      </w:pPr>
      <w:r w:rsidRPr="00C4727D">
        <w:rPr>
          <w:rFonts w:eastAsia="Segoe UI" w:cs="Segoe UI"/>
          <w:b/>
          <w:bCs/>
          <w:color w:val="424242"/>
        </w:rPr>
        <w:t>Training and Development</w:t>
      </w:r>
    </w:p>
    <w:p w14:paraId="5DCE2174" w14:textId="77777777" w:rsidR="00C4727D" w:rsidRPr="00C4727D" w:rsidRDefault="00C4727D" w:rsidP="003F05A4">
      <w:pPr>
        <w:numPr>
          <w:ilvl w:val="0"/>
          <w:numId w:val="3"/>
        </w:numPr>
        <w:spacing w:before="120" w:after="60"/>
        <w:rPr>
          <w:rFonts w:eastAsia="Segoe UI" w:cs="Segoe UI"/>
          <w:color w:val="424242"/>
        </w:rPr>
      </w:pPr>
      <w:r w:rsidRPr="00C4727D">
        <w:rPr>
          <w:rFonts w:eastAsia="Segoe UI" w:cs="Segoe UI"/>
          <w:color w:val="424242"/>
        </w:rPr>
        <w:t>Expand inclusive mentoring and sponsorship schemes to support career growth.</w:t>
      </w:r>
    </w:p>
    <w:p w14:paraId="47E6517B" w14:textId="77777777" w:rsidR="00C4727D" w:rsidRPr="00C4727D" w:rsidRDefault="00C4727D" w:rsidP="008F1EB4">
      <w:pPr>
        <w:spacing w:before="120" w:after="60"/>
        <w:rPr>
          <w:rFonts w:eastAsia="Segoe UI" w:cs="Segoe UI"/>
          <w:b/>
          <w:bCs/>
          <w:color w:val="424242"/>
        </w:rPr>
      </w:pPr>
      <w:r w:rsidRPr="00C4727D">
        <w:rPr>
          <w:rFonts w:eastAsia="Segoe UI" w:cs="Segoe UI"/>
          <w:b/>
          <w:bCs/>
          <w:color w:val="424242"/>
        </w:rPr>
        <w:t>Disciplinary and Grievance Processes</w:t>
      </w:r>
    </w:p>
    <w:p w14:paraId="69D0BC90" w14:textId="77777777" w:rsidR="00C4727D" w:rsidRPr="00C4727D" w:rsidRDefault="00C4727D" w:rsidP="003F05A4">
      <w:pPr>
        <w:numPr>
          <w:ilvl w:val="0"/>
          <w:numId w:val="3"/>
        </w:numPr>
        <w:spacing w:before="120" w:after="60"/>
        <w:rPr>
          <w:rFonts w:eastAsia="Segoe UI" w:cs="Segoe UI"/>
          <w:color w:val="424242"/>
        </w:rPr>
      </w:pPr>
      <w:r w:rsidRPr="00C4727D">
        <w:rPr>
          <w:rFonts w:eastAsia="Segoe UI" w:cs="Segoe UI"/>
          <w:color w:val="424242"/>
        </w:rPr>
        <w:t>Escalate concerns about disciplinary disparities to senior leadership.</w:t>
      </w:r>
    </w:p>
    <w:p w14:paraId="07DEDB33" w14:textId="77777777" w:rsidR="00C4727D" w:rsidRPr="00C4727D" w:rsidRDefault="00C4727D" w:rsidP="008F1EB4">
      <w:pPr>
        <w:spacing w:before="120" w:after="60"/>
        <w:rPr>
          <w:rFonts w:eastAsia="Segoe UI" w:cs="Segoe UI"/>
          <w:b/>
          <w:bCs/>
          <w:color w:val="424242"/>
        </w:rPr>
      </w:pPr>
      <w:r w:rsidRPr="00C4727D">
        <w:rPr>
          <w:rFonts w:eastAsia="Segoe UI" w:cs="Segoe UI"/>
          <w:b/>
          <w:bCs/>
          <w:color w:val="424242"/>
        </w:rPr>
        <w:t>Harassment, Bullying, and Abuse</w:t>
      </w:r>
    </w:p>
    <w:p w14:paraId="0B8BE2D0" w14:textId="77777777" w:rsidR="00C4727D" w:rsidRPr="00C4727D" w:rsidRDefault="00C4727D" w:rsidP="003F05A4">
      <w:pPr>
        <w:numPr>
          <w:ilvl w:val="0"/>
          <w:numId w:val="3"/>
        </w:numPr>
        <w:spacing w:before="120" w:after="60"/>
        <w:rPr>
          <w:rFonts w:eastAsia="Segoe UI" w:cs="Segoe UI"/>
          <w:color w:val="424242"/>
        </w:rPr>
      </w:pPr>
      <w:r w:rsidRPr="00C4727D">
        <w:rPr>
          <w:rFonts w:eastAsia="Segoe UI" w:cs="Segoe UI"/>
          <w:color w:val="424242"/>
        </w:rPr>
        <w:t>Engage with community groups and patient representatives to promote respectful interactions.</w:t>
      </w:r>
    </w:p>
    <w:p w14:paraId="1088EA48" w14:textId="77777777" w:rsidR="00C4727D" w:rsidRPr="00C4727D" w:rsidRDefault="00C4727D" w:rsidP="008F1EB4">
      <w:pPr>
        <w:spacing w:before="120" w:after="60"/>
        <w:rPr>
          <w:rFonts w:eastAsia="Segoe UI" w:cs="Segoe UI"/>
          <w:b/>
          <w:bCs/>
          <w:color w:val="424242"/>
        </w:rPr>
      </w:pPr>
      <w:r w:rsidRPr="00C4727D">
        <w:rPr>
          <w:rFonts w:eastAsia="Segoe UI" w:cs="Segoe UI"/>
          <w:b/>
          <w:bCs/>
          <w:color w:val="424242"/>
        </w:rPr>
        <w:t>Leadership and Accountability</w:t>
      </w:r>
    </w:p>
    <w:p w14:paraId="57F27F68" w14:textId="1DEE1D39" w:rsidR="00454954" w:rsidRPr="007E3C5E" w:rsidRDefault="00C4727D" w:rsidP="003F05A4">
      <w:pPr>
        <w:numPr>
          <w:ilvl w:val="0"/>
          <w:numId w:val="3"/>
        </w:numPr>
        <w:spacing w:before="120" w:after="60"/>
        <w:rPr>
          <w:rFonts w:eastAsia="Segoe UI" w:cs="Segoe UI"/>
          <w:color w:val="424242"/>
        </w:rPr>
      </w:pPr>
      <w:r w:rsidRPr="00C4727D">
        <w:rPr>
          <w:rFonts w:eastAsia="Segoe UI" w:cs="Segoe UI"/>
          <w:color w:val="424242"/>
        </w:rPr>
        <w:lastRenderedPageBreak/>
        <w:t>Embed inclusion goals into appraisals and hold managers accountable for team culture.</w:t>
      </w:r>
    </w:p>
    <w:p w14:paraId="43EC993A" w14:textId="7579AD19" w:rsidR="00454954" w:rsidRPr="007E3C5E" w:rsidRDefault="00454954" w:rsidP="00454954">
      <w:pPr>
        <w:jc w:val="both"/>
        <w:rPr>
          <w:rFonts w:eastAsia="Segoe UI" w:cs="Segoe UI"/>
        </w:rPr>
      </w:pPr>
      <w:r w:rsidRPr="007E3C5E">
        <w:rPr>
          <w:rFonts w:eastAsia="Segoe UI" w:cs="Segoe UI"/>
        </w:rPr>
        <w:t>These actions are designed to drive meaningful change and ensure that all staff, regardless of disability or health condition, can thrive in a safe, inclusive, and supportive environment. As part of our commitment to continuous improvement, our progress will be regularly reviewed and transparently reported.</w:t>
      </w:r>
    </w:p>
    <w:p w14:paraId="1F4BF663" w14:textId="66BF1A10" w:rsidR="005F032F" w:rsidRPr="0024561C" w:rsidRDefault="005F032F" w:rsidP="0024561C">
      <w:pPr>
        <w:jc w:val="both"/>
        <w:sectPr w:rsidR="005F032F" w:rsidRPr="0024561C">
          <w:headerReference w:type="default" r:id="rId31"/>
          <w:footerReference w:type="default" r:id="rId32"/>
          <w:pgSz w:w="11906" w:h="16838"/>
          <w:pgMar w:top="1440" w:right="1440" w:bottom="1440" w:left="1440" w:header="708" w:footer="708" w:gutter="0"/>
          <w:cols w:space="708"/>
          <w:docGrid w:linePitch="360"/>
        </w:sectPr>
      </w:pPr>
    </w:p>
    <w:p w14:paraId="3EEFA69B" w14:textId="586E8862" w:rsidR="005F032F" w:rsidRDefault="005F032F" w:rsidP="005F032F">
      <w:pPr>
        <w:pStyle w:val="Heading1"/>
      </w:pPr>
      <w:bookmarkStart w:id="19" w:name="_Toc196741667"/>
      <w:bookmarkStart w:id="20" w:name="_Toc196746740"/>
      <w:r w:rsidRPr="005F032F">
        <w:lastRenderedPageBreak/>
        <w:t xml:space="preserve">Appendix 1 – Workforce </w:t>
      </w:r>
      <w:r>
        <w:t>Race</w:t>
      </w:r>
      <w:r w:rsidRPr="005F032F">
        <w:t xml:space="preserve"> Equality Standard Metrics summary 2020-2025</w:t>
      </w:r>
      <w:bookmarkEnd w:id="19"/>
      <w:bookmarkEnd w:id="20"/>
    </w:p>
    <w:tbl>
      <w:tblPr>
        <w:tblW w:w="15168" w:type="dxa"/>
        <w:tblInd w:w="-572" w:type="dxa"/>
        <w:tblLook w:val="04A0" w:firstRow="1" w:lastRow="0" w:firstColumn="1" w:lastColumn="0" w:noHBand="0" w:noVBand="1"/>
      </w:tblPr>
      <w:tblGrid>
        <w:gridCol w:w="425"/>
        <w:gridCol w:w="6690"/>
        <w:gridCol w:w="965"/>
        <w:gridCol w:w="1276"/>
        <w:gridCol w:w="1276"/>
        <w:gridCol w:w="1134"/>
        <w:gridCol w:w="992"/>
        <w:gridCol w:w="1134"/>
        <w:gridCol w:w="1276"/>
      </w:tblGrid>
      <w:tr w:rsidR="005F032F" w:rsidRPr="005F032F" w14:paraId="7515FC78" w14:textId="77777777" w:rsidTr="005F032F">
        <w:trPr>
          <w:trHeight w:val="300"/>
        </w:trPr>
        <w:tc>
          <w:tcPr>
            <w:tcW w:w="8080" w:type="dxa"/>
            <w:gridSpan w:val="3"/>
            <w:vMerge w:val="restart"/>
            <w:tcBorders>
              <w:top w:val="single" w:sz="4" w:space="0" w:color="auto"/>
              <w:left w:val="single" w:sz="4" w:space="0" w:color="auto"/>
              <w:bottom w:val="single" w:sz="4" w:space="0" w:color="000000"/>
              <w:right w:val="single" w:sz="4" w:space="0" w:color="000000"/>
            </w:tcBorders>
            <w:vAlign w:val="center"/>
            <w:hideMark/>
          </w:tcPr>
          <w:p w14:paraId="1ABC2FB8" w14:textId="77777777" w:rsidR="005F032F" w:rsidRPr="005F032F" w:rsidRDefault="005F032F" w:rsidP="002B6146">
            <w:pPr>
              <w:spacing w:after="0" w:line="240" w:lineRule="auto"/>
              <w:rPr>
                <w:rFonts w:eastAsia="Times New Roman" w:cs="Calibri"/>
                <w:kern w:val="0"/>
                <w:sz w:val="22"/>
                <w:szCs w:val="22"/>
                <w:lang w:eastAsia="en-GB"/>
                <w14:ligatures w14:val="none"/>
              </w:rPr>
            </w:pPr>
            <w:r w:rsidRPr="005F032F">
              <w:rPr>
                <w:rFonts w:eastAsia="Times New Roman" w:cs="Calibri"/>
                <w:kern w:val="0"/>
                <w:sz w:val="22"/>
                <w:szCs w:val="22"/>
                <w:lang w:eastAsia="en-GB"/>
                <w14:ligatures w14:val="none"/>
              </w:rPr>
              <w:t> </w:t>
            </w:r>
          </w:p>
        </w:tc>
        <w:tc>
          <w:tcPr>
            <w:tcW w:w="7088" w:type="dxa"/>
            <w:gridSpan w:val="6"/>
            <w:tcBorders>
              <w:top w:val="single" w:sz="4" w:space="0" w:color="auto"/>
              <w:left w:val="nil"/>
              <w:bottom w:val="single" w:sz="4" w:space="0" w:color="auto"/>
              <w:right w:val="single" w:sz="4" w:space="0" w:color="auto"/>
            </w:tcBorders>
            <w:vAlign w:val="center"/>
            <w:hideMark/>
          </w:tcPr>
          <w:p w14:paraId="407F7771" w14:textId="77777777" w:rsidR="005F032F" w:rsidRPr="005F032F" w:rsidRDefault="005F032F" w:rsidP="002B6146">
            <w:pPr>
              <w:spacing w:after="0" w:line="240" w:lineRule="auto"/>
              <w:jc w:val="center"/>
              <w:rPr>
                <w:rFonts w:eastAsia="Times New Roman" w:cs="Calibri"/>
                <w:kern w:val="0"/>
                <w:sz w:val="22"/>
                <w:szCs w:val="22"/>
                <w:lang w:eastAsia="en-GB"/>
                <w14:ligatures w14:val="none"/>
              </w:rPr>
            </w:pPr>
            <w:r w:rsidRPr="005F032F">
              <w:rPr>
                <w:rFonts w:eastAsia="Times New Roman" w:cs="Calibri"/>
                <w:kern w:val="0"/>
                <w:sz w:val="22"/>
                <w:szCs w:val="22"/>
                <w:lang w:eastAsia="en-GB"/>
                <w14:ligatures w14:val="none"/>
              </w:rPr>
              <w:t>Reporting Year</w:t>
            </w:r>
          </w:p>
        </w:tc>
      </w:tr>
      <w:tr w:rsidR="005F032F" w:rsidRPr="005F032F" w14:paraId="2CE3C930" w14:textId="77777777" w:rsidTr="005F032F">
        <w:trPr>
          <w:trHeight w:val="300"/>
        </w:trPr>
        <w:tc>
          <w:tcPr>
            <w:tcW w:w="8080" w:type="dxa"/>
            <w:gridSpan w:val="3"/>
            <w:vMerge/>
            <w:tcBorders>
              <w:top w:val="single" w:sz="4" w:space="0" w:color="auto"/>
              <w:left w:val="single" w:sz="4" w:space="0" w:color="auto"/>
              <w:bottom w:val="single" w:sz="4" w:space="0" w:color="000000"/>
              <w:right w:val="single" w:sz="4" w:space="0" w:color="000000"/>
            </w:tcBorders>
            <w:vAlign w:val="center"/>
            <w:hideMark/>
          </w:tcPr>
          <w:p w14:paraId="6783804D" w14:textId="77777777" w:rsidR="005F032F" w:rsidRPr="005F032F" w:rsidRDefault="005F032F" w:rsidP="002B6146">
            <w:pPr>
              <w:spacing w:after="0" w:line="240" w:lineRule="auto"/>
              <w:rPr>
                <w:rFonts w:eastAsia="Times New Roman" w:cs="Calibri"/>
                <w:kern w:val="0"/>
                <w:sz w:val="22"/>
                <w:szCs w:val="22"/>
                <w:lang w:eastAsia="en-GB"/>
                <w14:ligatures w14:val="none"/>
              </w:rPr>
            </w:pPr>
          </w:p>
        </w:tc>
        <w:tc>
          <w:tcPr>
            <w:tcW w:w="1276" w:type="dxa"/>
            <w:tcBorders>
              <w:top w:val="nil"/>
              <w:left w:val="nil"/>
              <w:bottom w:val="single" w:sz="4" w:space="0" w:color="auto"/>
              <w:right w:val="single" w:sz="4" w:space="0" w:color="auto"/>
            </w:tcBorders>
            <w:vAlign w:val="center"/>
            <w:hideMark/>
          </w:tcPr>
          <w:p w14:paraId="3ADDFBCA" w14:textId="77777777" w:rsidR="005F032F" w:rsidRPr="005F032F" w:rsidRDefault="005F032F" w:rsidP="002B6146">
            <w:pPr>
              <w:spacing w:after="0" w:line="240" w:lineRule="auto"/>
              <w:jc w:val="center"/>
              <w:rPr>
                <w:rFonts w:eastAsia="Times New Roman" w:cs="Calibri"/>
                <w:kern w:val="0"/>
                <w:sz w:val="22"/>
                <w:szCs w:val="22"/>
                <w:lang w:eastAsia="en-GB"/>
                <w14:ligatures w14:val="none"/>
              </w:rPr>
            </w:pPr>
            <w:r w:rsidRPr="005F032F">
              <w:rPr>
                <w:rFonts w:eastAsia="Times New Roman" w:cs="Calibri"/>
                <w:kern w:val="0"/>
                <w:sz w:val="22"/>
                <w:szCs w:val="22"/>
                <w:lang w:eastAsia="en-GB"/>
                <w14:ligatures w14:val="none"/>
              </w:rPr>
              <w:t>2020</w:t>
            </w:r>
          </w:p>
        </w:tc>
        <w:tc>
          <w:tcPr>
            <w:tcW w:w="1276" w:type="dxa"/>
            <w:tcBorders>
              <w:top w:val="nil"/>
              <w:left w:val="nil"/>
              <w:bottom w:val="single" w:sz="4" w:space="0" w:color="auto"/>
              <w:right w:val="single" w:sz="4" w:space="0" w:color="auto"/>
            </w:tcBorders>
            <w:vAlign w:val="center"/>
            <w:hideMark/>
          </w:tcPr>
          <w:p w14:paraId="71114AD9" w14:textId="77777777" w:rsidR="005F032F" w:rsidRPr="005F032F" w:rsidRDefault="005F032F" w:rsidP="002B6146">
            <w:pPr>
              <w:spacing w:after="0" w:line="240" w:lineRule="auto"/>
              <w:jc w:val="center"/>
              <w:rPr>
                <w:rFonts w:eastAsia="Times New Roman" w:cs="Calibri"/>
                <w:kern w:val="0"/>
                <w:sz w:val="22"/>
                <w:szCs w:val="22"/>
                <w:lang w:eastAsia="en-GB"/>
                <w14:ligatures w14:val="none"/>
              </w:rPr>
            </w:pPr>
            <w:r w:rsidRPr="005F032F">
              <w:rPr>
                <w:rFonts w:eastAsia="Times New Roman" w:cs="Calibri"/>
                <w:kern w:val="0"/>
                <w:sz w:val="22"/>
                <w:szCs w:val="22"/>
                <w:lang w:eastAsia="en-GB"/>
                <w14:ligatures w14:val="none"/>
              </w:rPr>
              <w:t>2021</w:t>
            </w:r>
          </w:p>
        </w:tc>
        <w:tc>
          <w:tcPr>
            <w:tcW w:w="1134" w:type="dxa"/>
            <w:tcBorders>
              <w:top w:val="nil"/>
              <w:left w:val="nil"/>
              <w:bottom w:val="single" w:sz="4" w:space="0" w:color="auto"/>
              <w:right w:val="single" w:sz="4" w:space="0" w:color="auto"/>
            </w:tcBorders>
            <w:vAlign w:val="center"/>
            <w:hideMark/>
          </w:tcPr>
          <w:p w14:paraId="3F715833" w14:textId="77777777" w:rsidR="005F032F" w:rsidRPr="005F032F" w:rsidRDefault="005F032F" w:rsidP="002B6146">
            <w:pPr>
              <w:spacing w:after="0" w:line="240" w:lineRule="auto"/>
              <w:jc w:val="center"/>
              <w:rPr>
                <w:rFonts w:eastAsia="Times New Roman" w:cs="Calibri"/>
                <w:kern w:val="0"/>
                <w:sz w:val="22"/>
                <w:szCs w:val="22"/>
                <w:lang w:eastAsia="en-GB"/>
                <w14:ligatures w14:val="none"/>
              </w:rPr>
            </w:pPr>
            <w:r w:rsidRPr="005F032F">
              <w:rPr>
                <w:rFonts w:eastAsia="Times New Roman" w:cs="Calibri"/>
                <w:kern w:val="0"/>
                <w:sz w:val="22"/>
                <w:szCs w:val="22"/>
                <w:lang w:eastAsia="en-GB"/>
                <w14:ligatures w14:val="none"/>
              </w:rPr>
              <w:t>2022</w:t>
            </w:r>
          </w:p>
        </w:tc>
        <w:tc>
          <w:tcPr>
            <w:tcW w:w="992" w:type="dxa"/>
            <w:tcBorders>
              <w:top w:val="nil"/>
              <w:left w:val="nil"/>
              <w:bottom w:val="single" w:sz="4" w:space="0" w:color="auto"/>
              <w:right w:val="single" w:sz="4" w:space="0" w:color="auto"/>
            </w:tcBorders>
            <w:vAlign w:val="center"/>
            <w:hideMark/>
          </w:tcPr>
          <w:p w14:paraId="7A516F9F" w14:textId="77777777" w:rsidR="005F032F" w:rsidRPr="005F032F" w:rsidRDefault="005F032F" w:rsidP="002B6146">
            <w:pPr>
              <w:spacing w:after="0" w:line="240" w:lineRule="auto"/>
              <w:jc w:val="center"/>
              <w:rPr>
                <w:rFonts w:eastAsia="Times New Roman" w:cs="Calibri"/>
                <w:kern w:val="0"/>
                <w:sz w:val="22"/>
                <w:szCs w:val="22"/>
                <w:lang w:eastAsia="en-GB"/>
                <w14:ligatures w14:val="none"/>
              </w:rPr>
            </w:pPr>
            <w:r w:rsidRPr="005F032F">
              <w:rPr>
                <w:rFonts w:eastAsia="Times New Roman" w:cs="Calibri"/>
                <w:kern w:val="0"/>
                <w:sz w:val="22"/>
                <w:szCs w:val="22"/>
                <w:lang w:eastAsia="en-GB"/>
                <w14:ligatures w14:val="none"/>
              </w:rPr>
              <w:t>2023</w:t>
            </w:r>
          </w:p>
        </w:tc>
        <w:tc>
          <w:tcPr>
            <w:tcW w:w="1134" w:type="dxa"/>
            <w:tcBorders>
              <w:top w:val="nil"/>
              <w:left w:val="nil"/>
              <w:bottom w:val="single" w:sz="4" w:space="0" w:color="auto"/>
              <w:right w:val="single" w:sz="4" w:space="0" w:color="auto"/>
            </w:tcBorders>
            <w:vAlign w:val="center"/>
            <w:hideMark/>
          </w:tcPr>
          <w:p w14:paraId="21341176" w14:textId="77777777" w:rsidR="005F032F" w:rsidRPr="005F032F" w:rsidRDefault="005F032F" w:rsidP="002B6146">
            <w:pPr>
              <w:spacing w:after="0" w:line="240" w:lineRule="auto"/>
              <w:jc w:val="center"/>
              <w:rPr>
                <w:rFonts w:eastAsia="Times New Roman" w:cs="Calibri"/>
                <w:kern w:val="0"/>
                <w:sz w:val="22"/>
                <w:szCs w:val="22"/>
                <w:lang w:eastAsia="en-GB"/>
                <w14:ligatures w14:val="none"/>
              </w:rPr>
            </w:pPr>
            <w:r w:rsidRPr="005F032F">
              <w:rPr>
                <w:rFonts w:eastAsia="Times New Roman" w:cs="Calibri"/>
                <w:kern w:val="0"/>
                <w:sz w:val="22"/>
                <w:szCs w:val="22"/>
                <w:lang w:eastAsia="en-GB"/>
                <w14:ligatures w14:val="none"/>
              </w:rPr>
              <w:t>2024</w:t>
            </w:r>
          </w:p>
        </w:tc>
        <w:tc>
          <w:tcPr>
            <w:tcW w:w="1276" w:type="dxa"/>
            <w:tcBorders>
              <w:top w:val="nil"/>
              <w:left w:val="nil"/>
              <w:bottom w:val="single" w:sz="4" w:space="0" w:color="auto"/>
              <w:right w:val="single" w:sz="4" w:space="0" w:color="auto"/>
            </w:tcBorders>
            <w:vAlign w:val="center"/>
            <w:hideMark/>
          </w:tcPr>
          <w:p w14:paraId="658EA884" w14:textId="77777777" w:rsidR="005F032F" w:rsidRPr="005F032F" w:rsidRDefault="005F032F" w:rsidP="002B6146">
            <w:pPr>
              <w:spacing w:after="0" w:line="240" w:lineRule="auto"/>
              <w:jc w:val="center"/>
              <w:rPr>
                <w:rFonts w:eastAsia="Times New Roman" w:cs="Calibri"/>
                <w:kern w:val="0"/>
                <w:sz w:val="22"/>
                <w:szCs w:val="22"/>
                <w:lang w:eastAsia="en-GB"/>
                <w14:ligatures w14:val="none"/>
              </w:rPr>
            </w:pPr>
            <w:r w:rsidRPr="005F032F">
              <w:rPr>
                <w:rFonts w:eastAsia="Times New Roman" w:cs="Calibri"/>
                <w:kern w:val="0"/>
                <w:sz w:val="22"/>
                <w:szCs w:val="22"/>
                <w:lang w:eastAsia="en-GB"/>
                <w14:ligatures w14:val="none"/>
              </w:rPr>
              <w:t>2025</w:t>
            </w:r>
          </w:p>
        </w:tc>
      </w:tr>
      <w:tr w:rsidR="005F032F" w:rsidRPr="005F032F" w14:paraId="75D53D5F" w14:textId="77777777" w:rsidTr="005F032F">
        <w:trPr>
          <w:trHeight w:val="600"/>
        </w:trPr>
        <w:tc>
          <w:tcPr>
            <w:tcW w:w="425" w:type="dxa"/>
            <w:tcBorders>
              <w:top w:val="nil"/>
              <w:left w:val="single" w:sz="4" w:space="0" w:color="auto"/>
              <w:bottom w:val="single" w:sz="4" w:space="0" w:color="auto"/>
              <w:right w:val="single" w:sz="4" w:space="0" w:color="auto"/>
            </w:tcBorders>
            <w:vAlign w:val="center"/>
            <w:hideMark/>
          </w:tcPr>
          <w:p w14:paraId="39AA0C3B" w14:textId="77777777" w:rsidR="005F032F" w:rsidRPr="005F032F" w:rsidRDefault="005F032F" w:rsidP="002B6146">
            <w:pPr>
              <w:spacing w:after="0" w:line="240" w:lineRule="auto"/>
              <w:jc w:val="right"/>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1</w:t>
            </w:r>
          </w:p>
        </w:tc>
        <w:tc>
          <w:tcPr>
            <w:tcW w:w="6690" w:type="dxa"/>
            <w:tcBorders>
              <w:top w:val="nil"/>
              <w:left w:val="nil"/>
              <w:bottom w:val="single" w:sz="4" w:space="0" w:color="auto"/>
              <w:right w:val="single" w:sz="4" w:space="0" w:color="auto"/>
            </w:tcBorders>
            <w:vAlign w:val="center"/>
            <w:hideMark/>
          </w:tcPr>
          <w:p w14:paraId="4BA40C73" w14:textId="77777777" w:rsidR="005F032F" w:rsidRPr="005F032F" w:rsidRDefault="005F032F" w:rsidP="002B6146">
            <w:pPr>
              <w:spacing w:after="0" w:line="240" w:lineRule="auto"/>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Workforce Representation. Percentage of staff from all other ethnic groups combined</w:t>
            </w:r>
          </w:p>
        </w:tc>
        <w:tc>
          <w:tcPr>
            <w:tcW w:w="960" w:type="dxa"/>
            <w:tcBorders>
              <w:top w:val="nil"/>
              <w:left w:val="nil"/>
              <w:bottom w:val="single" w:sz="4" w:space="0" w:color="auto"/>
              <w:right w:val="single" w:sz="4" w:space="0" w:color="auto"/>
            </w:tcBorders>
            <w:noWrap/>
            <w:vAlign w:val="center"/>
            <w:hideMark/>
          </w:tcPr>
          <w:p w14:paraId="6F7E6986" w14:textId="77777777" w:rsidR="005F032F" w:rsidRPr="005F032F" w:rsidRDefault="005F032F" w:rsidP="002B6146">
            <w:pPr>
              <w:spacing w:after="0" w:line="240" w:lineRule="auto"/>
              <w:jc w:val="right"/>
              <w:rPr>
                <w:rFonts w:eastAsia="Times New Roman" w:cs="Calibri"/>
                <w:kern w:val="0"/>
                <w:sz w:val="22"/>
                <w:szCs w:val="22"/>
                <w:lang w:eastAsia="en-GB"/>
                <w14:ligatures w14:val="none"/>
              </w:rPr>
            </w:pPr>
            <w:r w:rsidRPr="005F032F">
              <w:rPr>
                <w:rFonts w:eastAsia="Times New Roman" w:cs="Calibri"/>
                <w:kern w:val="0"/>
                <w:sz w:val="22"/>
                <w:szCs w:val="22"/>
                <w:lang w:eastAsia="en-GB"/>
                <w14:ligatures w14:val="none"/>
              </w:rPr>
              <w:t>Overall</w:t>
            </w:r>
          </w:p>
        </w:tc>
        <w:tc>
          <w:tcPr>
            <w:tcW w:w="1276" w:type="dxa"/>
            <w:tcBorders>
              <w:top w:val="nil"/>
              <w:left w:val="nil"/>
              <w:bottom w:val="single" w:sz="4" w:space="0" w:color="auto"/>
              <w:right w:val="single" w:sz="4" w:space="0" w:color="auto"/>
            </w:tcBorders>
            <w:noWrap/>
            <w:vAlign w:val="center"/>
            <w:hideMark/>
          </w:tcPr>
          <w:p w14:paraId="5FA31A09"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18.1%</w:t>
            </w:r>
          </w:p>
        </w:tc>
        <w:tc>
          <w:tcPr>
            <w:tcW w:w="1276" w:type="dxa"/>
            <w:tcBorders>
              <w:top w:val="nil"/>
              <w:left w:val="nil"/>
              <w:bottom w:val="single" w:sz="4" w:space="0" w:color="auto"/>
              <w:right w:val="single" w:sz="4" w:space="0" w:color="auto"/>
            </w:tcBorders>
            <w:noWrap/>
            <w:vAlign w:val="center"/>
            <w:hideMark/>
          </w:tcPr>
          <w:p w14:paraId="0F2ABBE4"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19.5%</w:t>
            </w:r>
          </w:p>
        </w:tc>
        <w:tc>
          <w:tcPr>
            <w:tcW w:w="1134" w:type="dxa"/>
            <w:tcBorders>
              <w:top w:val="nil"/>
              <w:left w:val="nil"/>
              <w:bottom w:val="single" w:sz="4" w:space="0" w:color="auto"/>
              <w:right w:val="single" w:sz="4" w:space="0" w:color="auto"/>
            </w:tcBorders>
            <w:noWrap/>
            <w:vAlign w:val="center"/>
            <w:hideMark/>
          </w:tcPr>
          <w:p w14:paraId="7576CD87"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20.4%</w:t>
            </w:r>
          </w:p>
        </w:tc>
        <w:tc>
          <w:tcPr>
            <w:tcW w:w="992" w:type="dxa"/>
            <w:tcBorders>
              <w:top w:val="nil"/>
              <w:left w:val="nil"/>
              <w:bottom w:val="single" w:sz="4" w:space="0" w:color="auto"/>
              <w:right w:val="single" w:sz="4" w:space="0" w:color="auto"/>
            </w:tcBorders>
            <w:noWrap/>
            <w:vAlign w:val="center"/>
            <w:hideMark/>
          </w:tcPr>
          <w:p w14:paraId="69B79A9E"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24.7%</w:t>
            </w:r>
          </w:p>
        </w:tc>
        <w:tc>
          <w:tcPr>
            <w:tcW w:w="1134" w:type="dxa"/>
            <w:tcBorders>
              <w:top w:val="nil"/>
              <w:left w:val="nil"/>
              <w:bottom w:val="single" w:sz="4" w:space="0" w:color="auto"/>
              <w:right w:val="single" w:sz="4" w:space="0" w:color="auto"/>
            </w:tcBorders>
            <w:noWrap/>
            <w:vAlign w:val="center"/>
            <w:hideMark/>
          </w:tcPr>
          <w:p w14:paraId="43B392DD"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27.5%</w:t>
            </w:r>
          </w:p>
        </w:tc>
        <w:tc>
          <w:tcPr>
            <w:tcW w:w="1276" w:type="dxa"/>
            <w:tcBorders>
              <w:top w:val="nil"/>
              <w:left w:val="nil"/>
              <w:bottom w:val="single" w:sz="4" w:space="0" w:color="auto"/>
              <w:right w:val="single" w:sz="4" w:space="0" w:color="auto"/>
            </w:tcBorders>
            <w:noWrap/>
            <w:vAlign w:val="center"/>
            <w:hideMark/>
          </w:tcPr>
          <w:p w14:paraId="5B15FE9A" w14:textId="474DF6DA" w:rsidR="005F032F" w:rsidRPr="005F032F" w:rsidRDefault="00DC37BF" w:rsidP="002B6146">
            <w:pPr>
              <w:spacing w:after="0" w:line="240" w:lineRule="auto"/>
              <w:jc w:val="center"/>
              <w:rPr>
                <w:rFonts w:eastAsia="Times New Roman" w:cs="Calibri"/>
                <w:color w:val="000000"/>
                <w:kern w:val="0"/>
                <w:sz w:val="22"/>
                <w:szCs w:val="22"/>
                <w:lang w:eastAsia="en-GB"/>
                <w14:ligatures w14:val="none"/>
              </w:rPr>
            </w:pPr>
            <w:r>
              <w:rPr>
                <w:rFonts w:eastAsia="Times New Roman" w:cs="Calibri"/>
                <w:color w:val="000000"/>
                <w:kern w:val="0"/>
                <w:sz w:val="22"/>
                <w:szCs w:val="22"/>
                <w:lang w:eastAsia="en-GB"/>
                <w14:ligatures w14:val="none"/>
              </w:rPr>
              <w:t>29</w:t>
            </w:r>
            <w:r w:rsidR="005F032F" w:rsidRPr="005F032F">
              <w:rPr>
                <w:rFonts w:eastAsia="Times New Roman" w:cs="Calibri"/>
                <w:color w:val="000000"/>
                <w:kern w:val="0"/>
                <w:sz w:val="22"/>
                <w:szCs w:val="22"/>
                <w:lang w:eastAsia="en-GB"/>
                <w14:ligatures w14:val="none"/>
              </w:rPr>
              <w:t>%</w:t>
            </w:r>
          </w:p>
        </w:tc>
      </w:tr>
      <w:tr w:rsidR="005F032F" w:rsidRPr="005F032F" w14:paraId="00C1D436" w14:textId="77777777" w:rsidTr="005F032F">
        <w:trPr>
          <w:trHeight w:val="1026"/>
        </w:trPr>
        <w:tc>
          <w:tcPr>
            <w:tcW w:w="425" w:type="dxa"/>
            <w:tcBorders>
              <w:top w:val="nil"/>
              <w:left w:val="single" w:sz="4" w:space="0" w:color="auto"/>
              <w:bottom w:val="single" w:sz="4" w:space="0" w:color="auto"/>
              <w:right w:val="single" w:sz="4" w:space="0" w:color="auto"/>
            </w:tcBorders>
            <w:noWrap/>
            <w:vAlign w:val="center"/>
            <w:hideMark/>
          </w:tcPr>
          <w:p w14:paraId="10A06724" w14:textId="77777777" w:rsidR="005F032F" w:rsidRPr="005F032F" w:rsidRDefault="005F032F" w:rsidP="002B6146">
            <w:pPr>
              <w:spacing w:after="0" w:line="240" w:lineRule="auto"/>
              <w:jc w:val="right"/>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2</w:t>
            </w:r>
          </w:p>
        </w:tc>
        <w:tc>
          <w:tcPr>
            <w:tcW w:w="6690" w:type="dxa"/>
            <w:tcBorders>
              <w:top w:val="nil"/>
              <w:left w:val="nil"/>
              <w:bottom w:val="single" w:sz="4" w:space="0" w:color="auto"/>
              <w:right w:val="single" w:sz="4" w:space="0" w:color="auto"/>
            </w:tcBorders>
            <w:vAlign w:val="center"/>
            <w:hideMark/>
          </w:tcPr>
          <w:p w14:paraId="74A18CD8" w14:textId="77777777" w:rsidR="005F032F" w:rsidRPr="005F032F" w:rsidRDefault="005F032F" w:rsidP="002B6146">
            <w:pPr>
              <w:spacing w:after="0" w:line="240" w:lineRule="auto"/>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Relative likelihood of white applicants being appointed from shortlisting across all posts compared to applications from all other ethnic groups</w:t>
            </w:r>
          </w:p>
        </w:tc>
        <w:tc>
          <w:tcPr>
            <w:tcW w:w="960" w:type="dxa"/>
            <w:tcBorders>
              <w:top w:val="nil"/>
              <w:left w:val="nil"/>
              <w:bottom w:val="single" w:sz="4" w:space="0" w:color="auto"/>
              <w:right w:val="single" w:sz="4" w:space="0" w:color="auto"/>
            </w:tcBorders>
            <w:vAlign w:val="center"/>
            <w:hideMark/>
          </w:tcPr>
          <w:p w14:paraId="74A52038" w14:textId="77777777" w:rsidR="005F032F" w:rsidRPr="005F032F" w:rsidRDefault="005F032F" w:rsidP="002B6146">
            <w:pPr>
              <w:spacing w:after="0" w:line="240" w:lineRule="auto"/>
              <w:jc w:val="right"/>
              <w:rPr>
                <w:rFonts w:eastAsia="Times New Roman" w:cs="Calibri"/>
                <w:kern w:val="0"/>
                <w:sz w:val="22"/>
                <w:szCs w:val="22"/>
                <w:lang w:eastAsia="en-GB"/>
                <w14:ligatures w14:val="none"/>
              </w:rPr>
            </w:pPr>
            <w:r w:rsidRPr="005F032F">
              <w:rPr>
                <w:rFonts w:eastAsia="Times New Roman" w:cs="Calibri"/>
                <w:kern w:val="0"/>
                <w:sz w:val="22"/>
                <w:szCs w:val="22"/>
                <w:lang w:eastAsia="en-GB"/>
                <w14:ligatures w14:val="none"/>
              </w:rPr>
              <w:t> </w:t>
            </w:r>
          </w:p>
        </w:tc>
        <w:tc>
          <w:tcPr>
            <w:tcW w:w="1276" w:type="dxa"/>
            <w:tcBorders>
              <w:top w:val="nil"/>
              <w:left w:val="nil"/>
              <w:bottom w:val="single" w:sz="4" w:space="0" w:color="auto"/>
              <w:right w:val="single" w:sz="4" w:space="0" w:color="auto"/>
            </w:tcBorders>
            <w:noWrap/>
            <w:vAlign w:val="center"/>
            <w:hideMark/>
          </w:tcPr>
          <w:p w14:paraId="7DD1F7F4"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2.58</w:t>
            </w:r>
          </w:p>
        </w:tc>
        <w:tc>
          <w:tcPr>
            <w:tcW w:w="1276" w:type="dxa"/>
            <w:tcBorders>
              <w:top w:val="nil"/>
              <w:left w:val="nil"/>
              <w:bottom w:val="single" w:sz="4" w:space="0" w:color="auto"/>
              <w:right w:val="single" w:sz="4" w:space="0" w:color="auto"/>
            </w:tcBorders>
            <w:noWrap/>
            <w:vAlign w:val="center"/>
            <w:hideMark/>
          </w:tcPr>
          <w:p w14:paraId="7B225654"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1.95</w:t>
            </w:r>
          </w:p>
        </w:tc>
        <w:tc>
          <w:tcPr>
            <w:tcW w:w="1134" w:type="dxa"/>
            <w:tcBorders>
              <w:top w:val="nil"/>
              <w:left w:val="nil"/>
              <w:bottom w:val="single" w:sz="4" w:space="0" w:color="auto"/>
              <w:right w:val="single" w:sz="4" w:space="0" w:color="auto"/>
            </w:tcBorders>
            <w:noWrap/>
            <w:vAlign w:val="center"/>
            <w:hideMark/>
          </w:tcPr>
          <w:p w14:paraId="6F56DD1B"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1.49</w:t>
            </w:r>
          </w:p>
        </w:tc>
        <w:tc>
          <w:tcPr>
            <w:tcW w:w="992" w:type="dxa"/>
            <w:tcBorders>
              <w:top w:val="nil"/>
              <w:left w:val="nil"/>
              <w:bottom w:val="single" w:sz="4" w:space="0" w:color="auto"/>
              <w:right w:val="single" w:sz="4" w:space="0" w:color="auto"/>
            </w:tcBorders>
            <w:noWrap/>
            <w:vAlign w:val="center"/>
            <w:hideMark/>
          </w:tcPr>
          <w:p w14:paraId="726D5A1A"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1.54</w:t>
            </w:r>
          </w:p>
        </w:tc>
        <w:tc>
          <w:tcPr>
            <w:tcW w:w="1134" w:type="dxa"/>
            <w:tcBorders>
              <w:top w:val="nil"/>
              <w:left w:val="nil"/>
              <w:bottom w:val="single" w:sz="4" w:space="0" w:color="auto"/>
              <w:right w:val="single" w:sz="4" w:space="0" w:color="auto"/>
            </w:tcBorders>
            <w:noWrap/>
            <w:vAlign w:val="center"/>
            <w:hideMark/>
          </w:tcPr>
          <w:p w14:paraId="68269D0A"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1.41</w:t>
            </w:r>
          </w:p>
        </w:tc>
        <w:tc>
          <w:tcPr>
            <w:tcW w:w="1276" w:type="dxa"/>
            <w:tcBorders>
              <w:top w:val="nil"/>
              <w:left w:val="nil"/>
              <w:bottom w:val="single" w:sz="4" w:space="0" w:color="auto"/>
              <w:right w:val="single" w:sz="4" w:space="0" w:color="auto"/>
            </w:tcBorders>
            <w:noWrap/>
            <w:vAlign w:val="center"/>
            <w:hideMark/>
          </w:tcPr>
          <w:p w14:paraId="2C6383BE"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1.55</w:t>
            </w:r>
          </w:p>
        </w:tc>
      </w:tr>
      <w:tr w:rsidR="005F032F" w:rsidRPr="005F032F" w14:paraId="51DA127B" w14:textId="77777777" w:rsidTr="005F032F">
        <w:trPr>
          <w:trHeight w:val="900"/>
        </w:trPr>
        <w:tc>
          <w:tcPr>
            <w:tcW w:w="425" w:type="dxa"/>
            <w:tcBorders>
              <w:top w:val="nil"/>
              <w:left w:val="single" w:sz="4" w:space="0" w:color="auto"/>
              <w:bottom w:val="single" w:sz="4" w:space="0" w:color="auto"/>
              <w:right w:val="single" w:sz="4" w:space="0" w:color="auto"/>
            </w:tcBorders>
            <w:noWrap/>
            <w:vAlign w:val="center"/>
            <w:hideMark/>
          </w:tcPr>
          <w:p w14:paraId="26F6DA56" w14:textId="77777777" w:rsidR="005F032F" w:rsidRPr="005F032F" w:rsidRDefault="005F032F" w:rsidP="002B6146">
            <w:pPr>
              <w:spacing w:after="0" w:line="240" w:lineRule="auto"/>
              <w:jc w:val="right"/>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3</w:t>
            </w:r>
          </w:p>
        </w:tc>
        <w:tc>
          <w:tcPr>
            <w:tcW w:w="6690" w:type="dxa"/>
            <w:tcBorders>
              <w:top w:val="nil"/>
              <w:left w:val="nil"/>
              <w:bottom w:val="single" w:sz="4" w:space="0" w:color="auto"/>
              <w:right w:val="single" w:sz="4" w:space="0" w:color="auto"/>
            </w:tcBorders>
            <w:vAlign w:val="center"/>
            <w:hideMark/>
          </w:tcPr>
          <w:p w14:paraId="6722C9FE" w14:textId="77777777" w:rsidR="005F032F" w:rsidRPr="005F032F" w:rsidRDefault="005F032F" w:rsidP="002B6146">
            <w:pPr>
              <w:spacing w:after="0" w:line="240" w:lineRule="auto"/>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 xml:space="preserve">Relative likelihood of staff from other ethnic groups entering the formal disciplinary process compared to white staff </w:t>
            </w:r>
          </w:p>
        </w:tc>
        <w:tc>
          <w:tcPr>
            <w:tcW w:w="960" w:type="dxa"/>
            <w:tcBorders>
              <w:top w:val="nil"/>
              <w:left w:val="nil"/>
              <w:bottom w:val="single" w:sz="4" w:space="0" w:color="auto"/>
              <w:right w:val="single" w:sz="4" w:space="0" w:color="auto"/>
            </w:tcBorders>
            <w:vAlign w:val="center"/>
            <w:hideMark/>
          </w:tcPr>
          <w:p w14:paraId="3CABF5D2" w14:textId="77777777" w:rsidR="005F032F" w:rsidRPr="005F032F" w:rsidRDefault="005F032F" w:rsidP="002B6146">
            <w:pPr>
              <w:spacing w:after="0" w:line="240" w:lineRule="auto"/>
              <w:jc w:val="right"/>
              <w:rPr>
                <w:rFonts w:eastAsia="Times New Roman" w:cs="Calibri"/>
                <w:kern w:val="0"/>
                <w:sz w:val="22"/>
                <w:szCs w:val="22"/>
                <w:lang w:eastAsia="en-GB"/>
                <w14:ligatures w14:val="none"/>
              </w:rPr>
            </w:pPr>
            <w:r w:rsidRPr="005F032F">
              <w:rPr>
                <w:rFonts w:eastAsia="Times New Roman" w:cs="Calibri"/>
                <w:kern w:val="0"/>
                <w:sz w:val="22"/>
                <w:szCs w:val="22"/>
                <w:lang w:eastAsia="en-GB"/>
                <w14:ligatures w14:val="none"/>
              </w:rPr>
              <w:t> </w:t>
            </w:r>
          </w:p>
        </w:tc>
        <w:tc>
          <w:tcPr>
            <w:tcW w:w="1276" w:type="dxa"/>
            <w:tcBorders>
              <w:top w:val="nil"/>
              <w:left w:val="nil"/>
              <w:bottom w:val="single" w:sz="4" w:space="0" w:color="auto"/>
              <w:right w:val="single" w:sz="4" w:space="0" w:color="auto"/>
            </w:tcBorders>
            <w:noWrap/>
            <w:vAlign w:val="center"/>
            <w:hideMark/>
          </w:tcPr>
          <w:p w14:paraId="2C0241AC"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0.9</w:t>
            </w:r>
          </w:p>
        </w:tc>
        <w:tc>
          <w:tcPr>
            <w:tcW w:w="1276" w:type="dxa"/>
            <w:tcBorders>
              <w:top w:val="nil"/>
              <w:left w:val="nil"/>
              <w:bottom w:val="single" w:sz="4" w:space="0" w:color="auto"/>
              <w:right w:val="single" w:sz="4" w:space="0" w:color="auto"/>
            </w:tcBorders>
            <w:noWrap/>
            <w:vAlign w:val="center"/>
            <w:hideMark/>
          </w:tcPr>
          <w:p w14:paraId="6D9E28CA"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1.1</w:t>
            </w:r>
          </w:p>
        </w:tc>
        <w:tc>
          <w:tcPr>
            <w:tcW w:w="1134" w:type="dxa"/>
            <w:tcBorders>
              <w:top w:val="nil"/>
              <w:left w:val="nil"/>
              <w:bottom w:val="single" w:sz="4" w:space="0" w:color="auto"/>
              <w:right w:val="single" w:sz="4" w:space="0" w:color="auto"/>
            </w:tcBorders>
            <w:noWrap/>
            <w:vAlign w:val="center"/>
            <w:hideMark/>
          </w:tcPr>
          <w:p w14:paraId="678FCE42"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1.1</w:t>
            </w:r>
          </w:p>
        </w:tc>
        <w:tc>
          <w:tcPr>
            <w:tcW w:w="992" w:type="dxa"/>
            <w:tcBorders>
              <w:top w:val="nil"/>
              <w:left w:val="nil"/>
              <w:bottom w:val="single" w:sz="4" w:space="0" w:color="auto"/>
              <w:right w:val="single" w:sz="4" w:space="0" w:color="auto"/>
            </w:tcBorders>
            <w:noWrap/>
            <w:vAlign w:val="center"/>
            <w:hideMark/>
          </w:tcPr>
          <w:p w14:paraId="12E8A401"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0.79</w:t>
            </w:r>
          </w:p>
        </w:tc>
        <w:tc>
          <w:tcPr>
            <w:tcW w:w="1134" w:type="dxa"/>
            <w:tcBorders>
              <w:top w:val="nil"/>
              <w:left w:val="nil"/>
              <w:bottom w:val="single" w:sz="4" w:space="0" w:color="auto"/>
              <w:right w:val="single" w:sz="4" w:space="0" w:color="auto"/>
            </w:tcBorders>
            <w:noWrap/>
            <w:vAlign w:val="center"/>
            <w:hideMark/>
          </w:tcPr>
          <w:p w14:paraId="01E86EAB"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1.59</w:t>
            </w:r>
          </w:p>
        </w:tc>
        <w:tc>
          <w:tcPr>
            <w:tcW w:w="1276" w:type="dxa"/>
            <w:tcBorders>
              <w:top w:val="nil"/>
              <w:left w:val="nil"/>
              <w:bottom w:val="single" w:sz="4" w:space="0" w:color="auto"/>
              <w:right w:val="single" w:sz="4" w:space="0" w:color="auto"/>
            </w:tcBorders>
            <w:noWrap/>
            <w:vAlign w:val="center"/>
            <w:hideMark/>
          </w:tcPr>
          <w:p w14:paraId="4CEA415B"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1.51</w:t>
            </w:r>
          </w:p>
        </w:tc>
      </w:tr>
      <w:tr w:rsidR="005F032F" w:rsidRPr="005F032F" w14:paraId="605E496C" w14:textId="77777777" w:rsidTr="005F032F">
        <w:trPr>
          <w:trHeight w:val="1041"/>
        </w:trPr>
        <w:tc>
          <w:tcPr>
            <w:tcW w:w="425" w:type="dxa"/>
            <w:tcBorders>
              <w:top w:val="nil"/>
              <w:left w:val="single" w:sz="4" w:space="0" w:color="auto"/>
              <w:bottom w:val="single" w:sz="4" w:space="0" w:color="auto"/>
              <w:right w:val="single" w:sz="4" w:space="0" w:color="auto"/>
            </w:tcBorders>
            <w:noWrap/>
            <w:vAlign w:val="center"/>
            <w:hideMark/>
          </w:tcPr>
          <w:p w14:paraId="3603E209" w14:textId="77777777" w:rsidR="005F032F" w:rsidRPr="005F032F" w:rsidRDefault="005F032F" w:rsidP="002B6146">
            <w:pPr>
              <w:spacing w:after="0" w:line="240" w:lineRule="auto"/>
              <w:jc w:val="right"/>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4</w:t>
            </w:r>
          </w:p>
        </w:tc>
        <w:tc>
          <w:tcPr>
            <w:tcW w:w="6690" w:type="dxa"/>
            <w:tcBorders>
              <w:top w:val="nil"/>
              <w:left w:val="nil"/>
              <w:bottom w:val="single" w:sz="4" w:space="0" w:color="auto"/>
              <w:right w:val="single" w:sz="4" w:space="0" w:color="auto"/>
            </w:tcBorders>
            <w:vAlign w:val="center"/>
            <w:hideMark/>
          </w:tcPr>
          <w:p w14:paraId="4E033595" w14:textId="380C40D7" w:rsidR="005F032F" w:rsidRPr="005F032F" w:rsidRDefault="005F032F" w:rsidP="002B6146">
            <w:pPr>
              <w:spacing w:after="0" w:line="240" w:lineRule="auto"/>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 xml:space="preserve">Relative likelihood of white staff accessing </w:t>
            </w:r>
            <w:r w:rsidR="00BA5F09">
              <w:rPr>
                <w:rFonts w:eastAsia="Times New Roman" w:cs="Calibri"/>
                <w:color w:val="000000"/>
                <w:kern w:val="0"/>
                <w:sz w:val="22"/>
                <w:szCs w:val="22"/>
                <w:lang w:eastAsia="en-GB"/>
                <w14:ligatures w14:val="none"/>
              </w:rPr>
              <w:t>non-mandatory</w:t>
            </w:r>
            <w:r w:rsidRPr="005F032F">
              <w:rPr>
                <w:rFonts w:eastAsia="Times New Roman" w:cs="Calibri"/>
                <w:color w:val="000000"/>
                <w:kern w:val="0"/>
                <w:sz w:val="22"/>
                <w:szCs w:val="22"/>
                <w:lang w:eastAsia="en-GB"/>
                <w14:ligatures w14:val="none"/>
              </w:rPr>
              <w:t xml:space="preserve"> training and continuous professional development (CPD) compared to BME staff</w:t>
            </w:r>
          </w:p>
        </w:tc>
        <w:tc>
          <w:tcPr>
            <w:tcW w:w="960" w:type="dxa"/>
            <w:tcBorders>
              <w:top w:val="nil"/>
              <w:left w:val="nil"/>
              <w:bottom w:val="single" w:sz="4" w:space="0" w:color="auto"/>
              <w:right w:val="single" w:sz="4" w:space="0" w:color="auto"/>
            </w:tcBorders>
            <w:vAlign w:val="center"/>
            <w:hideMark/>
          </w:tcPr>
          <w:p w14:paraId="6C2B6573" w14:textId="77777777" w:rsidR="005F032F" w:rsidRPr="005F032F" w:rsidRDefault="005F032F" w:rsidP="002B6146">
            <w:pPr>
              <w:spacing w:after="0" w:line="240" w:lineRule="auto"/>
              <w:jc w:val="right"/>
              <w:rPr>
                <w:rFonts w:eastAsia="Times New Roman" w:cs="Calibri"/>
                <w:kern w:val="0"/>
                <w:sz w:val="22"/>
                <w:szCs w:val="22"/>
                <w:lang w:eastAsia="en-GB"/>
                <w14:ligatures w14:val="none"/>
              </w:rPr>
            </w:pPr>
            <w:r w:rsidRPr="005F032F">
              <w:rPr>
                <w:rFonts w:eastAsia="Times New Roman" w:cs="Calibri"/>
                <w:kern w:val="0"/>
                <w:sz w:val="22"/>
                <w:szCs w:val="22"/>
                <w:lang w:eastAsia="en-GB"/>
                <w14:ligatures w14:val="none"/>
              </w:rPr>
              <w:t> </w:t>
            </w:r>
          </w:p>
        </w:tc>
        <w:tc>
          <w:tcPr>
            <w:tcW w:w="1276" w:type="dxa"/>
            <w:tcBorders>
              <w:top w:val="nil"/>
              <w:left w:val="nil"/>
              <w:bottom w:val="single" w:sz="4" w:space="0" w:color="auto"/>
              <w:right w:val="single" w:sz="4" w:space="0" w:color="auto"/>
            </w:tcBorders>
            <w:noWrap/>
            <w:vAlign w:val="center"/>
            <w:hideMark/>
          </w:tcPr>
          <w:p w14:paraId="57DFE230"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1.52</w:t>
            </w:r>
          </w:p>
        </w:tc>
        <w:tc>
          <w:tcPr>
            <w:tcW w:w="1276" w:type="dxa"/>
            <w:tcBorders>
              <w:top w:val="nil"/>
              <w:left w:val="nil"/>
              <w:bottom w:val="single" w:sz="4" w:space="0" w:color="auto"/>
              <w:right w:val="single" w:sz="4" w:space="0" w:color="auto"/>
            </w:tcBorders>
            <w:noWrap/>
            <w:vAlign w:val="center"/>
            <w:hideMark/>
          </w:tcPr>
          <w:p w14:paraId="42F53D8E"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1.17</w:t>
            </w:r>
          </w:p>
        </w:tc>
        <w:tc>
          <w:tcPr>
            <w:tcW w:w="1134" w:type="dxa"/>
            <w:tcBorders>
              <w:top w:val="nil"/>
              <w:left w:val="nil"/>
              <w:bottom w:val="single" w:sz="4" w:space="0" w:color="auto"/>
              <w:right w:val="single" w:sz="4" w:space="0" w:color="auto"/>
            </w:tcBorders>
            <w:noWrap/>
            <w:vAlign w:val="center"/>
            <w:hideMark/>
          </w:tcPr>
          <w:p w14:paraId="55473C90"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1.95</w:t>
            </w:r>
          </w:p>
        </w:tc>
        <w:tc>
          <w:tcPr>
            <w:tcW w:w="992" w:type="dxa"/>
            <w:tcBorders>
              <w:top w:val="nil"/>
              <w:left w:val="nil"/>
              <w:bottom w:val="single" w:sz="4" w:space="0" w:color="auto"/>
              <w:right w:val="single" w:sz="4" w:space="0" w:color="auto"/>
            </w:tcBorders>
            <w:noWrap/>
            <w:vAlign w:val="center"/>
            <w:hideMark/>
          </w:tcPr>
          <w:p w14:paraId="28EB4132"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1.02</w:t>
            </w:r>
          </w:p>
        </w:tc>
        <w:tc>
          <w:tcPr>
            <w:tcW w:w="1134" w:type="dxa"/>
            <w:tcBorders>
              <w:top w:val="nil"/>
              <w:left w:val="nil"/>
              <w:bottom w:val="single" w:sz="4" w:space="0" w:color="auto"/>
              <w:right w:val="single" w:sz="4" w:space="0" w:color="auto"/>
            </w:tcBorders>
            <w:noWrap/>
            <w:vAlign w:val="center"/>
            <w:hideMark/>
          </w:tcPr>
          <w:p w14:paraId="6430EFAE"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1.24</w:t>
            </w:r>
          </w:p>
        </w:tc>
        <w:tc>
          <w:tcPr>
            <w:tcW w:w="1276" w:type="dxa"/>
            <w:tcBorders>
              <w:top w:val="nil"/>
              <w:left w:val="nil"/>
              <w:bottom w:val="single" w:sz="4" w:space="0" w:color="auto"/>
              <w:right w:val="single" w:sz="4" w:space="0" w:color="auto"/>
            </w:tcBorders>
            <w:noWrap/>
            <w:vAlign w:val="center"/>
            <w:hideMark/>
          </w:tcPr>
          <w:p w14:paraId="4467E238"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1.28</w:t>
            </w:r>
          </w:p>
        </w:tc>
      </w:tr>
      <w:tr w:rsidR="005F032F" w:rsidRPr="005F032F" w14:paraId="008C9198" w14:textId="77777777" w:rsidTr="005F032F">
        <w:trPr>
          <w:trHeight w:val="300"/>
        </w:trPr>
        <w:tc>
          <w:tcPr>
            <w:tcW w:w="425" w:type="dxa"/>
            <w:vMerge w:val="restart"/>
            <w:tcBorders>
              <w:top w:val="nil"/>
              <w:left w:val="single" w:sz="4" w:space="0" w:color="auto"/>
              <w:bottom w:val="single" w:sz="4" w:space="0" w:color="auto"/>
              <w:right w:val="single" w:sz="4" w:space="0" w:color="auto"/>
            </w:tcBorders>
            <w:vAlign w:val="center"/>
            <w:hideMark/>
          </w:tcPr>
          <w:p w14:paraId="1C338E3A" w14:textId="77777777" w:rsidR="005F032F" w:rsidRPr="005F032F" w:rsidRDefault="005F032F" w:rsidP="002B6146">
            <w:pPr>
              <w:spacing w:after="0" w:line="240" w:lineRule="auto"/>
              <w:jc w:val="right"/>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5</w:t>
            </w:r>
          </w:p>
        </w:tc>
        <w:tc>
          <w:tcPr>
            <w:tcW w:w="6690" w:type="dxa"/>
            <w:vMerge w:val="restart"/>
            <w:tcBorders>
              <w:top w:val="nil"/>
              <w:left w:val="single" w:sz="4" w:space="0" w:color="auto"/>
              <w:bottom w:val="single" w:sz="4" w:space="0" w:color="auto"/>
              <w:right w:val="single" w:sz="4" w:space="0" w:color="auto"/>
            </w:tcBorders>
            <w:vAlign w:val="center"/>
            <w:hideMark/>
          </w:tcPr>
          <w:p w14:paraId="00E40052" w14:textId="6597C86B" w:rsidR="005F032F" w:rsidRPr="005F032F" w:rsidRDefault="005F032F" w:rsidP="002B6146">
            <w:pPr>
              <w:spacing w:after="0" w:line="240" w:lineRule="auto"/>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Percentage of staff experiencing harassment, bullying or abuse from patients, relatives or the public in last 12 months</w:t>
            </w:r>
          </w:p>
        </w:tc>
        <w:tc>
          <w:tcPr>
            <w:tcW w:w="960" w:type="dxa"/>
            <w:tcBorders>
              <w:top w:val="nil"/>
              <w:left w:val="nil"/>
              <w:bottom w:val="single" w:sz="4" w:space="0" w:color="auto"/>
              <w:right w:val="single" w:sz="4" w:space="0" w:color="auto"/>
            </w:tcBorders>
            <w:vAlign w:val="center"/>
            <w:hideMark/>
          </w:tcPr>
          <w:p w14:paraId="45ECF493" w14:textId="77777777" w:rsidR="005F032F" w:rsidRPr="005F032F" w:rsidRDefault="005F032F" w:rsidP="002B6146">
            <w:pPr>
              <w:spacing w:after="0" w:line="240" w:lineRule="auto"/>
              <w:jc w:val="right"/>
              <w:rPr>
                <w:rFonts w:eastAsia="Times New Roman" w:cs="Calibri"/>
                <w:kern w:val="0"/>
                <w:sz w:val="22"/>
                <w:szCs w:val="22"/>
                <w:lang w:eastAsia="en-GB"/>
                <w14:ligatures w14:val="none"/>
              </w:rPr>
            </w:pPr>
            <w:r w:rsidRPr="005F032F">
              <w:rPr>
                <w:rFonts w:eastAsia="Times New Roman" w:cs="Calibri"/>
                <w:kern w:val="0"/>
                <w:sz w:val="22"/>
                <w:szCs w:val="22"/>
                <w:lang w:eastAsia="en-GB"/>
                <w14:ligatures w14:val="none"/>
              </w:rPr>
              <w:t>BME</w:t>
            </w:r>
          </w:p>
        </w:tc>
        <w:tc>
          <w:tcPr>
            <w:tcW w:w="1276" w:type="dxa"/>
            <w:tcBorders>
              <w:top w:val="nil"/>
              <w:left w:val="nil"/>
              <w:bottom w:val="single" w:sz="4" w:space="0" w:color="auto"/>
              <w:right w:val="single" w:sz="4" w:space="0" w:color="auto"/>
            </w:tcBorders>
            <w:noWrap/>
            <w:vAlign w:val="center"/>
            <w:hideMark/>
          </w:tcPr>
          <w:p w14:paraId="2E6F7A61"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31.2%</w:t>
            </w:r>
          </w:p>
        </w:tc>
        <w:tc>
          <w:tcPr>
            <w:tcW w:w="1276" w:type="dxa"/>
            <w:tcBorders>
              <w:top w:val="nil"/>
              <w:left w:val="nil"/>
              <w:bottom w:val="single" w:sz="4" w:space="0" w:color="auto"/>
              <w:right w:val="single" w:sz="4" w:space="0" w:color="auto"/>
            </w:tcBorders>
            <w:noWrap/>
            <w:vAlign w:val="center"/>
            <w:hideMark/>
          </w:tcPr>
          <w:p w14:paraId="05B6AB6A"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27.1%</w:t>
            </w:r>
          </w:p>
        </w:tc>
        <w:tc>
          <w:tcPr>
            <w:tcW w:w="1134" w:type="dxa"/>
            <w:tcBorders>
              <w:top w:val="nil"/>
              <w:left w:val="nil"/>
              <w:bottom w:val="single" w:sz="4" w:space="0" w:color="auto"/>
              <w:right w:val="single" w:sz="4" w:space="0" w:color="auto"/>
            </w:tcBorders>
            <w:noWrap/>
            <w:vAlign w:val="center"/>
            <w:hideMark/>
          </w:tcPr>
          <w:p w14:paraId="4BDAC29F"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27.7%</w:t>
            </w:r>
          </w:p>
        </w:tc>
        <w:tc>
          <w:tcPr>
            <w:tcW w:w="992" w:type="dxa"/>
            <w:tcBorders>
              <w:top w:val="nil"/>
              <w:left w:val="nil"/>
              <w:bottom w:val="single" w:sz="4" w:space="0" w:color="auto"/>
              <w:right w:val="single" w:sz="4" w:space="0" w:color="auto"/>
            </w:tcBorders>
            <w:noWrap/>
            <w:vAlign w:val="center"/>
            <w:hideMark/>
          </w:tcPr>
          <w:p w14:paraId="226921AF"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26.2%</w:t>
            </w:r>
          </w:p>
        </w:tc>
        <w:tc>
          <w:tcPr>
            <w:tcW w:w="1134" w:type="dxa"/>
            <w:tcBorders>
              <w:top w:val="nil"/>
              <w:left w:val="nil"/>
              <w:bottom w:val="single" w:sz="4" w:space="0" w:color="auto"/>
              <w:right w:val="single" w:sz="4" w:space="0" w:color="auto"/>
            </w:tcBorders>
            <w:noWrap/>
            <w:vAlign w:val="center"/>
            <w:hideMark/>
          </w:tcPr>
          <w:p w14:paraId="363DFAD6"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24.7%</w:t>
            </w:r>
          </w:p>
        </w:tc>
        <w:tc>
          <w:tcPr>
            <w:tcW w:w="1276" w:type="dxa"/>
            <w:tcBorders>
              <w:top w:val="nil"/>
              <w:left w:val="nil"/>
              <w:bottom w:val="single" w:sz="4" w:space="0" w:color="auto"/>
              <w:right w:val="single" w:sz="4" w:space="0" w:color="auto"/>
            </w:tcBorders>
            <w:noWrap/>
            <w:vAlign w:val="center"/>
            <w:hideMark/>
          </w:tcPr>
          <w:p w14:paraId="02CCA96E"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27.0%</w:t>
            </w:r>
          </w:p>
        </w:tc>
      </w:tr>
      <w:tr w:rsidR="005F032F" w:rsidRPr="005F032F" w14:paraId="7A31ED50" w14:textId="77777777" w:rsidTr="005F032F">
        <w:trPr>
          <w:trHeight w:val="300"/>
        </w:trPr>
        <w:tc>
          <w:tcPr>
            <w:tcW w:w="425" w:type="dxa"/>
            <w:vMerge/>
            <w:tcBorders>
              <w:top w:val="nil"/>
              <w:left w:val="single" w:sz="4" w:space="0" w:color="auto"/>
              <w:bottom w:val="single" w:sz="4" w:space="0" w:color="auto"/>
              <w:right w:val="single" w:sz="4" w:space="0" w:color="auto"/>
            </w:tcBorders>
            <w:vAlign w:val="center"/>
            <w:hideMark/>
          </w:tcPr>
          <w:p w14:paraId="2BBA2347" w14:textId="77777777" w:rsidR="005F032F" w:rsidRPr="005F032F" w:rsidRDefault="005F032F" w:rsidP="002B6146">
            <w:pPr>
              <w:spacing w:after="0" w:line="240" w:lineRule="auto"/>
              <w:rPr>
                <w:rFonts w:eastAsia="Times New Roman" w:cs="Calibri"/>
                <w:color w:val="000000"/>
                <w:kern w:val="0"/>
                <w:sz w:val="22"/>
                <w:szCs w:val="22"/>
                <w:lang w:eastAsia="en-GB"/>
                <w14:ligatures w14:val="none"/>
              </w:rPr>
            </w:pPr>
          </w:p>
        </w:tc>
        <w:tc>
          <w:tcPr>
            <w:tcW w:w="6690" w:type="dxa"/>
            <w:vMerge/>
            <w:tcBorders>
              <w:top w:val="nil"/>
              <w:left w:val="single" w:sz="4" w:space="0" w:color="auto"/>
              <w:bottom w:val="single" w:sz="4" w:space="0" w:color="auto"/>
              <w:right w:val="single" w:sz="4" w:space="0" w:color="auto"/>
            </w:tcBorders>
            <w:vAlign w:val="center"/>
            <w:hideMark/>
          </w:tcPr>
          <w:p w14:paraId="1EE827F7" w14:textId="77777777" w:rsidR="005F032F" w:rsidRPr="005F032F" w:rsidRDefault="005F032F" w:rsidP="002B6146">
            <w:pPr>
              <w:spacing w:after="0" w:line="240" w:lineRule="auto"/>
              <w:rPr>
                <w:rFonts w:eastAsia="Times New Roman" w:cs="Calibri"/>
                <w:color w:val="000000"/>
                <w:kern w:val="0"/>
                <w:sz w:val="22"/>
                <w:szCs w:val="22"/>
                <w:lang w:eastAsia="en-GB"/>
                <w14:ligatures w14:val="none"/>
              </w:rPr>
            </w:pPr>
          </w:p>
        </w:tc>
        <w:tc>
          <w:tcPr>
            <w:tcW w:w="960" w:type="dxa"/>
            <w:tcBorders>
              <w:top w:val="nil"/>
              <w:left w:val="nil"/>
              <w:bottom w:val="single" w:sz="4" w:space="0" w:color="auto"/>
              <w:right w:val="single" w:sz="4" w:space="0" w:color="auto"/>
            </w:tcBorders>
            <w:vAlign w:val="center"/>
            <w:hideMark/>
          </w:tcPr>
          <w:p w14:paraId="4B51F8DF" w14:textId="77777777" w:rsidR="005F032F" w:rsidRPr="005F032F" w:rsidRDefault="005F032F" w:rsidP="002B6146">
            <w:pPr>
              <w:spacing w:after="0" w:line="240" w:lineRule="auto"/>
              <w:jc w:val="right"/>
              <w:rPr>
                <w:rFonts w:eastAsia="Times New Roman" w:cs="Calibri"/>
                <w:kern w:val="0"/>
                <w:sz w:val="22"/>
                <w:szCs w:val="22"/>
                <w:lang w:eastAsia="en-GB"/>
                <w14:ligatures w14:val="none"/>
              </w:rPr>
            </w:pPr>
            <w:r w:rsidRPr="005F032F">
              <w:rPr>
                <w:rFonts w:eastAsia="Times New Roman" w:cs="Calibri"/>
                <w:kern w:val="0"/>
                <w:sz w:val="22"/>
                <w:szCs w:val="22"/>
                <w:lang w:eastAsia="en-GB"/>
                <w14:ligatures w14:val="none"/>
              </w:rPr>
              <w:t>White</w:t>
            </w:r>
          </w:p>
        </w:tc>
        <w:tc>
          <w:tcPr>
            <w:tcW w:w="1276" w:type="dxa"/>
            <w:tcBorders>
              <w:top w:val="nil"/>
              <w:left w:val="nil"/>
              <w:bottom w:val="single" w:sz="4" w:space="0" w:color="auto"/>
              <w:right w:val="single" w:sz="4" w:space="0" w:color="auto"/>
            </w:tcBorders>
            <w:noWrap/>
            <w:vAlign w:val="center"/>
            <w:hideMark/>
          </w:tcPr>
          <w:p w14:paraId="22C565CF"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31.6%</w:t>
            </w:r>
          </w:p>
        </w:tc>
        <w:tc>
          <w:tcPr>
            <w:tcW w:w="1276" w:type="dxa"/>
            <w:tcBorders>
              <w:top w:val="nil"/>
              <w:left w:val="nil"/>
              <w:bottom w:val="single" w:sz="4" w:space="0" w:color="auto"/>
              <w:right w:val="single" w:sz="4" w:space="0" w:color="auto"/>
            </w:tcBorders>
            <w:noWrap/>
            <w:vAlign w:val="center"/>
            <w:hideMark/>
          </w:tcPr>
          <w:p w14:paraId="09DF6974"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25.6%</w:t>
            </w:r>
          </w:p>
        </w:tc>
        <w:tc>
          <w:tcPr>
            <w:tcW w:w="1134" w:type="dxa"/>
            <w:tcBorders>
              <w:top w:val="nil"/>
              <w:left w:val="nil"/>
              <w:bottom w:val="single" w:sz="4" w:space="0" w:color="auto"/>
              <w:right w:val="single" w:sz="4" w:space="0" w:color="auto"/>
            </w:tcBorders>
            <w:noWrap/>
            <w:vAlign w:val="center"/>
            <w:hideMark/>
          </w:tcPr>
          <w:p w14:paraId="5ADD43E8"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25.5%</w:t>
            </w:r>
          </w:p>
        </w:tc>
        <w:tc>
          <w:tcPr>
            <w:tcW w:w="992" w:type="dxa"/>
            <w:tcBorders>
              <w:top w:val="nil"/>
              <w:left w:val="nil"/>
              <w:bottom w:val="single" w:sz="4" w:space="0" w:color="auto"/>
              <w:right w:val="single" w:sz="4" w:space="0" w:color="auto"/>
            </w:tcBorders>
            <w:noWrap/>
            <w:vAlign w:val="center"/>
            <w:hideMark/>
          </w:tcPr>
          <w:p w14:paraId="75830108"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24.8%</w:t>
            </w:r>
          </w:p>
        </w:tc>
        <w:tc>
          <w:tcPr>
            <w:tcW w:w="1134" w:type="dxa"/>
            <w:tcBorders>
              <w:top w:val="nil"/>
              <w:left w:val="nil"/>
              <w:bottom w:val="single" w:sz="4" w:space="0" w:color="auto"/>
              <w:right w:val="single" w:sz="4" w:space="0" w:color="auto"/>
            </w:tcBorders>
            <w:noWrap/>
            <w:vAlign w:val="center"/>
            <w:hideMark/>
          </w:tcPr>
          <w:p w14:paraId="3DCB835F"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24.4%</w:t>
            </w:r>
          </w:p>
        </w:tc>
        <w:tc>
          <w:tcPr>
            <w:tcW w:w="1276" w:type="dxa"/>
            <w:tcBorders>
              <w:top w:val="nil"/>
              <w:left w:val="nil"/>
              <w:bottom w:val="single" w:sz="4" w:space="0" w:color="auto"/>
              <w:right w:val="single" w:sz="4" w:space="0" w:color="auto"/>
            </w:tcBorders>
            <w:noWrap/>
            <w:vAlign w:val="center"/>
            <w:hideMark/>
          </w:tcPr>
          <w:p w14:paraId="437BA9E7"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21.7%</w:t>
            </w:r>
          </w:p>
        </w:tc>
      </w:tr>
      <w:tr w:rsidR="005F032F" w:rsidRPr="005F032F" w14:paraId="03D008C5" w14:textId="77777777" w:rsidTr="005F032F">
        <w:trPr>
          <w:trHeight w:val="300"/>
        </w:trPr>
        <w:tc>
          <w:tcPr>
            <w:tcW w:w="425" w:type="dxa"/>
            <w:vMerge w:val="restart"/>
            <w:tcBorders>
              <w:top w:val="nil"/>
              <w:left w:val="single" w:sz="4" w:space="0" w:color="auto"/>
              <w:bottom w:val="single" w:sz="4" w:space="0" w:color="auto"/>
              <w:right w:val="single" w:sz="4" w:space="0" w:color="auto"/>
            </w:tcBorders>
            <w:vAlign w:val="center"/>
            <w:hideMark/>
          </w:tcPr>
          <w:p w14:paraId="686A1391" w14:textId="77777777" w:rsidR="005F032F" w:rsidRPr="005F032F" w:rsidRDefault="005F032F" w:rsidP="002B6146">
            <w:pPr>
              <w:spacing w:after="0" w:line="240" w:lineRule="auto"/>
              <w:jc w:val="right"/>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6</w:t>
            </w:r>
          </w:p>
        </w:tc>
        <w:tc>
          <w:tcPr>
            <w:tcW w:w="6690" w:type="dxa"/>
            <w:vMerge w:val="restart"/>
            <w:tcBorders>
              <w:top w:val="nil"/>
              <w:left w:val="single" w:sz="4" w:space="0" w:color="auto"/>
              <w:bottom w:val="single" w:sz="4" w:space="0" w:color="auto"/>
              <w:right w:val="single" w:sz="4" w:space="0" w:color="auto"/>
            </w:tcBorders>
            <w:vAlign w:val="center"/>
            <w:hideMark/>
          </w:tcPr>
          <w:p w14:paraId="487D851B" w14:textId="05F7DA58" w:rsidR="005F032F" w:rsidRPr="005F032F" w:rsidRDefault="005F032F" w:rsidP="002B6146">
            <w:pPr>
              <w:spacing w:after="0" w:line="240" w:lineRule="auto"/>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Percentage of staff experiencing harassment, bullying or abuse from staff in</w:t>
            </w:r>
            <w:r w:rsidR="00BA5F09">
              <w:rPr>
                <w:rFonts w:eastAsia="Times New Roman" w:cs="Calibri"/>
                <w:color w:val="000000"/>
                <w:kern w:val="0"/>
                <w:sz w:val="22"/>
                <w:szCs w:val="22"/>
                <w:lang w:eastAsia="en-GB"/>
                <w14:ligatures w14:val="none"/>
              </w:rPr>
              <w:t xml:space="preserve"> the</w:t>
            </w:r>
            <w:r w:rsidRPr="005F032F">
              <w:rPr>
                <w:rFonts w:eastAsia="Times New Roman" w:cs="Calibri"/>
                <w:color w:val="000000"/>
                <w:kern w:val="0"/>
                <w:sz w:val="22"/>
                <w:szCs w:val="22"/>
                <w:lang w:eastAsia="en-GB"/>
                <w14:ligatures w14:val="none"/>
              </w:rPr>
              <w:t xml:space="preserve"> last 12 months</w:t>
            </w:r>
          </w:p>
        </w:tc>
        <w:tc>
          <w:tcPr>
            <w:tcW w:w="960" w:type="dxa"/>
            <w:tcBorders>
              <w:top w:val="nil"/>
              <w:left w:val="nil"/>
              <w:bottom w:val="single" w:sz="4" w:space="0" w:color="auto"/>
              <w:right w:val="single" w:sz="4" w:space="0" w:color="auto"/>
            </w:tcBorders>
            <w:vAlign w:val="center"/>
            <w:hideMark/>
          </w:tcPr>
          <w:p w14:paraId="12683813" w14:textId="77777777" w:rsidR="005F032F" w:rsidRPr="005F032F" w:rsidRDefault="005F032F" w:rsidP="002B6146">
            <w:pPr>
              <w:spacing w:after="0" w:line="240" w:lineRule="auto"/>
              <w:jc w:val="right"/>
              <w:rPr>
                <w:rFonts w:eastAsia="Times New Roman" w:cs="Calibri"/>
                <w:kern w:val="0"/>
                <w:sz w:val="22"/>
                <w:szCs w:val="22"/>
                <w:lang w:eastAsia="en-GB"/>
                <w14:ligatures w14:val="none"/>
              </w:rPr>
            </w:pPr>
            <w:r w:rsidRPr="005F032F">
              <w:rPr>
                <w:rFonts w:eastAsia="Times New Roman" w:cs="Calibri"/>
                <w:kern w:val="0"/>
                <w:sz w:val="22"/>
                <w:szCs w:val="22"/>
                <w:lang w:eastAsia="en-GB"/>
                <w14:ligatures w14:val="none"/>
              </w:rPr>
              <w:t>BME</w:t>
            </w:r>
          </w:p>
        </w:tc>
        <w:tc>
          <w:tcPr>
            <w:tcW w:w="1276" w:type="dxa"/>
            <w:tcBorders>
              <w:top w:val="nil"/>
              <w:left w:val="nil"/>
              <w:bottom w:val="single" w:sz="4" w:space="0" w:color="auto"/>
              <w:right w:val="single" w:sz="4" w:space="0" w:color="auto"/>
            </w:tcBorders>
            <w:noWrap/>
            <w:vAlign w:val="center"/>
            <w:hideMark/>
          </w:tcPr>
          <w:p w14:paraId="433BED85"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33.0%</w:t>
            </w:r>
          </w:p>
        </w:tc>
        <w:tc>
          <w:tcPr>
            <w:tcW w:w="1276" w:type="dxa"/>
            <w:tcBorders>
              <w:top w:val="nil"/>
              <w:left w:val="nil"/>
              <w:bottom w:val="single" w:sz="4" w:space="0" w:color="auto"/>
              <w:right w:val="single" w:sz="4" w:space="0" w:color="auto"/>
            </w:tcBorders>
            <w:noWrap/>
            <w:vAlign w:val="center"/>
            <w:hideMark/>
          </w:tcPr>
          <w:p w14:paraId="6D13DF21"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32.8%</w:t>
            </w:r>
          </w:p>
        </w:tc>
        <w:tc>
          <w:tcPr>
            <w:tcW w:w="1134" w:type="dxa"/>
            <w:tcBorders>
              <w:top w:val="nil"/>
              <w:left w:val="nil"/>
              <w:bottom w:val="single" w:sz="4" w:space="0" w:color="auto"/>
              <w:right w:val="single" w:sz="4" w:space="0" w:color="auto"/>
            </w:tcBorders>
            <w:noWrap/>
            <w:vAlign w:val="center"/>
            <w:hideMark/>
          </w:tcPr>
          <w:p w14:paraId="2E63F0B2"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26.8%</w:t>
            </w:r>
          </w:p>
        </w:tc>
        <w:tc>
          <w:tcPr>
            <w:tcW w:w="992" w:type="dxa"/>
            <w:tcBorders>
              <w:top w:val="nil"/>
              <w:left w:val="nil"/>
              <w:bottom w:val="single" w:sz="4" w:space="0" w:color="auto"/>
              <w:right w:val="single" w:sz="4" w:space="0" w:color="auto"/>
            </w:tcBorders>
            <w:noWrap/>
            <w:vAlign w:val="center"/>
            <w:hideMark/>
          </w:tcPr>
          <w:p w14:paraId="4B15B24F"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28.8%</w:t>
            </w:r>
          </w:p>
        </w:tc>
        <w:tc>
          <w:tcPr>
            <w:tcW w:w="1134" w:type="dxa"/>
            <w:tcBorders>
              <w:top w:val="nil"/>
              <w:left w:val="nil"/>
              <w:bottom w:val="single" w:sz="4" w:space="0" w:color="auto"/>
              <w:right w:val="single" w:sz="4" w:space="0" w:color="auto"/>
            </w:tcBorders>
            <w:noWrap/>
            <w:vAlign w:val="center"/>
            <w:hideMark/>
          </w:tcPr>
          <w:p w14:paraId="1A664BC8"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29.9%</w:t>
            </w:r>
          </w:p>
        </w:tc>
        <w:tc>
          <w:tcPr>
            <w:tcW w:w="1276" w:type="dxa"/>
            <w:tcBorders>
              <w:top w:val="nil"/>
              <w:left w:val="nil"/>
              <w:bottom w:val="single" w:sz="4" w:space="0" w:color="auto"/>
              <w:right w:val="single" w:sz="4" w:space="0" w:color="auto"/>
            </w:tcBorders>
            <w:noWrap/>
            <w:vAlign w:val="center"/>
            <w:hideMark/>
          </w:tcPr>
          <w:p w14:paraId="6175EB48"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27.2%</w:t>
            </w:r>
          </w:p>
        </w:tc>
      </w:tr>
      <w:tr w:rsidR="005F032F" w:rsidRPr="005F032F" w14:paraId="3AA657E6" w14:textId="77777777" w:rsidTr="005F032F">
        <w:trPr>
          <w:trHeight w:val="300"/>
        </w:trPr>
        <w:tc>
          <w:tcPr>
            <w:tcW w:w="425" w:type="dxa"/>
            <w:vMerge/>
            <w:tcBorders>
              <w:top w:val="nil"/>
              <w:left w:val="single" w:sz="4" w:space="0" w:color="auto"/>
              <w:bottom w:val="single" w:sz="4" w:space="0" w:color="auto"/>
              <w:right w:val="single" w:sz="4" w:space="0" w:color="auto"/>
            </w:tcBorders>
            <w:vAlign w:val="center"/>
            <w:hideMark/>
          </w:tcPr>
          <w:p w14:paraId="5EED1859" w14:textId="77777777" w:rsidR="005F032F" w:rsidRPr="005F032F" w:rsidRDefault="005F032F" w:rsidP="002B6146">
            <w:pPr>
              <w:spacing w:after="0" w:line="240" w:lineRule="auto"/>
              <w:rPr>
                <w:rFonts w:eastAsia="Times New Roman" w:cs="Calibri"/>
                <w:color w:val="000000"/>
                <w:kern w:val="0"/>
                <w:sz w:val="22"/>
                <w:szCs w:val="22"/>
                <w:lang w:eastAsia="en-GB"/>
                <w14:ligatures w14:val="none"/>
              </w:rPr>
            </w:pPr>
          </w:p>
        </w:tc>
        <w:tc>
          <w:tcPr>
            <w:tcW w:w="6690" w:type="dxa"/>
            <w:vMerge/>
            <w:tcBorders>
              <w:top w:val="nil"/>
              <w:left w:val="single" w:sz="4" w:space="0" w:color="auto"/>
              <w:bottom w:val="single" w:sz="4" w:space="0" w:color="auto"/>
              <w:right w:val="single" w:sz="4" w:space="0" w:color="auto"/>
            </w:tcBorders>
            <w:vAlign w:val="center"/>
            <w:hideMark/>
          </w:tcPr>
          <w:p w14:paraId="48CC03AB" w14:textId="77777777" w:rsidR="005F032F" w:rsidRPr="005F032F" w:rsidRDefault="005F032F" w:rsidP="002B6146">
            <w:pPr>
              <w:spacing w:after="0" w:line="240" w:lineRule="auto"/>
              <w:rPr>
                <w:rFonts w:eastAsia="Times New Roman" w:cs="Calibri"/>
                <w:color w:val="000000"/>
                <w:kern w:val="0"/>
                <w:sz w:val="22"/>
                <w:szCs w:val="22"/>
                <w:lang w:eastAsia="en-GB"/>
                <w14:ligatures w14:val="none"/>
              </w:rPr>
            </w:pPr>
          </w:p>
        </w:tc>
        <w:tc>
          <w:tcPr>
            <w:tcW w:w="960" w:type="dxa"/>
            <w:tcBorders>
              <w:top w:val="nil"/>
              <w:left w:val="nil"/>
              <w:bottom w:val="single" w:sz="4" w:space="0" w:color="auto"/>
              <w:right w:val="single" w:sz="4" w:space="0" w:color="auto"/>
            </w:tcBorders>
            <w:vAlign w:val="center"/>
            <w:hideMark/>
          </w:tcPr>
          <w:p w14:paraId="55B5A231" w14:textId="77777777" w:rsidR="005F032F" w:rsidRPr="005F032F" w:rsidRDefault="005F032F" w:rsidP="002B6146">
            <w:pPr>
              <w:spacing w:after="0" w:line="240" w:lineRule="auto"/>
              <w:jc w:val="right"/>
              <w:rPr>
                <w:rFonts w:eastAsia="Times New Roman" w:cs="Calibri"/>
                <w:kern w:val="0"/>
                <w:sz w:val="22"/>
                <w:szCs w:val="22"/>
                <w:lang w:eastAsia="en-GB"/>
                <w14:ligatures w14:val="none"/>
              </w:rPr>
            </w:pPr>
            <w:r w:rsidRPr="005F032F">
              <w:rPr>
                <w:rFonts w:eastAsia="Times New Roman" w:cs="Calibri"/>
                <w:kern w:val="0"/>
                <w:sz w:val="22"/>
                <w:szCs w:val="22"/>
                <w:lang w:eastAsia="en-GB"/>
                <w14:ligatures w14:val="none"/>
              </w:rPr>
              <w:t>White</w:t>
            </w:r>
          </w:p>
        </w:tc>
        <w:tc>
          <w:tcPr>
            <w:tcW w:w="1276" w:type="dxa"/>
            <w:tcBorders>
              <w:top w:val="nil"/>
              <w:left w:val="nil"/>
              <w:bottom w:val="single" w:sz="4" w:space="0" w:color="auto"/>
              <w:right w:val="single" w:sz="4" w:space="0" w:color="auto"/>
            </w:tcBorders>
            <w:noWrap/>
            <w:vAlign w:val="center"/>
            <w:hideMark/>
          </w:tcPr>
          <w:p w14:paraId="341C214C"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28.4%</w:t>
            </w:r>
          </w:p>
        </w:tc>
        <w:tc>
          <w:tcPr>
            <w:tcW w:w="1276" w:type="dxa"/>
            <w:tcBorders>
              <w:top w:val="nil"/>
              <w:left w:val="nil"/>
              <w:bottom w:val="single" w:sz="4" w:space="0" w:color="auto"/>
              <w:right w:val="single" w:sz="4" w:space="0" w:color="auto"/>
            </w:tcBorders>
            <w:noWrap/>
            <w:vAlign w:val="center"/>
            <w:hideMark/>
          </w:tcPr>
          <w:p w14:paraId="36361EE0"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25.7%</w:t>
            </w:r>
          </w:p>
        </w:tc>
        <w:tc>
          <w:tcPr>
            <w:tcW w:w="1134" w:type="dxa"/>
            <w:tcBorders>
              <w:top w:val="nil"/>
              <w:left w:val="nil"/>
              <w:bottom w:val="single" w:sz="4" w:space="0" w:color="auto"/>
              <w:right w:val="single" w:sz="4" w:space="0" w:color="auto"/>
            </w:tcBorders>
            <w:noWrap/>
            <w:vAlign w:val="center"/>
            <w:hideMark/>
          </w:tcPr>
          <w:p w14:paraId="554B4F0A"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19.7%</w:t>
            </w:r>
          </w:p>
        </w:tc>
        <w:tc>
          <w:tcPr>
            <w:tcW w:w="992" w:type="dxa"/>
            <w:tcBorders>
              <w:top w:val="nil"/>
              <w:left w:val="nil"/>
              <w:bottom w:val="single" w:sz="4" w:space="0" w:color="auto"/>
              <w:right w:val="single" w:sz="4" w:space="0" w:color="auto"/>
            </w:tcBorders>
            <w:noWrap/>
            <w:vAlign w:val="center"/>
            <w:hideMark/>
          </w:tcPr>
          <w:p w14:paraId="45242067"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20.3%</w:t>
            </w:r>
          </w:p>
        </w:tc>
        <w:tc>
          <w:tcPr>
            <w:tcW w:w="1134" w:type="dxa"/>
            <w:tcBorders>
              <w:top w:val="nil"/>
              <w:left w:val="nil"/>
              <w:bottom w:val="single" w:sz="4" w:space="0" w:color="auto"/>
              <w:right w:val="single" w:sz="4" w:space="0" w:color="auto"/>
            </w:tcBorders>
            <w:noWrap/>
            <w:vAlign w:val="center"/>
            <w:hideMark/>
          </w:tcPr>
          <w:p w14:paraId="15FBED3B"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20.6%</w:t>
            </w:r>
          </w:p>
        </w:tc>
        <w:tc>
          <w:tcPr>
            <w:tcW w:w="1276" w:type="dxa"/>
            <w:tcBorders>
              <w:top w:val="nil"/>
              <w:left w:val="nil"/>
              <w:bottom w:val="single" w:sz="4" w:space="0" w:color="auto"/>
              <w:right w:val="single" w:sz="4" w:space="0" w:color="auto"/>
            </w:tcBorders>
            <w:noWrap/>
            <w:vAlign w:val="center"/>
            <w:hideMark/>
          </w:tcPr>
          <w:p w14:paraId="7CC8B3CA"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20.4%</w:t>
            </w:r>
          </w:p>
        </w:tc>
      </w:tr>
      <w:tr w:rsidR="005F032F" w:rsidRPr="005F032F" w14:paraId="61C3BA65" w14:textId="77777777" w:rsidTr="005F032F">
        <w:trPr>
          <w:trHeight w:val="300"/>
        </w:trPr>
        <w:tc>
          <w:tcPr>
            <w:tcW w:w="425" w:type="dxa"/>
            <w:vMerge w:val="restart"/>
            <w:tcBorders>
              <w:top w:val="nil"/>
              <w:left w:val="single" w:sz="4" w:space="0" w:color="auto"/>
              <w:bottom w:val="single" w:sz="4" w:space="0" w:color="auto"/>
              <w:right w:val="single" w:sz="4" w:space="0" w:color="auto"/>
            </w:tcBorders>
            <w:vAlign w:val="center"/>
            <w:hideMark/>
          </w:tcPr>
          <w:p w14:paraId="1A86F4CA" w14:textId="77777777" w:rsidR="005F032F" w:rsidRPr="005F032F" w:rsidRDefault="005F032F" w:rsidP="002B6146">
            <w:pPr>
              <w:spacing w:after="0" w:line="240" w:lineRule="auto"/>
              <w:jc w:val="right"/>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7</w:t>
            </w:r>
          </w:p>
        </w:tc>
        <w:tc>
          <w:tcPr>
            <w:tcW w:w="6690" w:type="dxa"/>
            <w:vMerge w:val="restart"/>
            <w:tcBorders>
              <w:top w:val="nil"/>
              <w:left w:val="single" w:sz="4" w:space="0" w:color="auto"/>
              <w:bottom w:val="single" w:sz="4" w:space="0" w:color="auto"/>
              <w:right w:val="single" w:sz="4" w:space="0" w:color="auto"/>
            </w:tcBorders>
            <w:vAlign w:val="center"/>
            <w:hideMark/>
          </w:tcPr>
          <w:p w14:paraId="4669A1E1" w14:textId="0A1D8E96" w:rsidR="005F032F" w:rsidRPr="005F032F" w:rsidRDefault="005F032F" w:rsidP="002B6146">
            <w:pPr>
              <w:spacing w:after="0" w:line="240" w:lineRule="auto"/>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Percentage of staff believing that trust provides equal opportunities for career progression or promotion</w:t>
            </w:r>
          </w:p>
        </w:tc>
        <w:tc>
          <w:tcPr>
            <w:tcW w:w="960" w:type="dxa"/>
            <w:tcBorders>
              <w:top w:val="nil"/>
              <w:left w:val="nil"/>
              <w:bottom w:val="single" w:sz="4" w:space="0" w:color="auto"/>
              <w:right w:val="single" w:sz="4" w:space="0" w:color="auto"/>
            </w:tcBorders>
            <w:vAlign w:val="center"/>
            <w:hideMark/>
          </w:tcPr>
          <w:p w14:paraId="5D740CED" w14:textId="77777777" w:rsidR="005F032F" w:rsidRPr="005F032F" w:rsidRDefault="005F032F" w:rsidP="002B6146">
            <w:pPr>
              <w:spacing w:after="0" w:line="240" w:lineRule="auto"/>
              <w:jc w:val="right"/>
              <w:rPr>
                <w:rFonts w:eastAsia="Times New Roman" w:cs="Calibri"/>
                <w:kern w:val="0"/>
                <w:sz w:val="22"/>
                <w:szCs w:val="22"/>
                <w:lang w:eastAsia="en-GB"/>
                <w14:ligatures w14:val="none"/>
              </w:rPr>
            </w:pPr>
            <w:r w:rsidRPr="005F032F">
              <w:rPr>
                <w:rFonts w:eastAsia="Times New Roman" w:cs="Calibri"/>
                <w:kern w:val="0"/>
                <w:sz w:val="22"/>
                <w:szCs w:val="22"/>
                <w:lang w:eastAsia="en-GB"/>
                <w14:ligatures w14:val="none"/>
              </w:rPr>
              <w:t>BME</w:t>
            </w:r>
          </w:p>
        </w:tc>
        <w:tc>
          <w:tcPr>
            <w:tcW w:w="1276" w:type="dxa"/>
            <w:tcBorders>
              <w:top w:val="nil"/>
              <w:left w:val="nil"/>
              <w:bottom w:val="single" w:sz="4" w:space="0" w:color="auto"/>
              <w:right w:val="single" w:sz="4" w:space="0" w:color="auto"/>
            </w:tcBorders>
            <w:noWrap/>
            <w:vAlign w:val="center"/>
            <w:hideMark/>
          </w:tcPr>
          <w:p w14:paraId="4820D848"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42.9%</w:t>
            </w:r>
          </w:p>
        </w:tc>
        <w:tc>
          <w:tcPr>
            <w:tcW w:w="1276" w:type="dxa"/>
            <w:tcBorders>
              <w:top w:val="nil"/>
              <w:left w:val="nil"/>
              <w:bottom w:val="single" w:sz="4" w:space="0" w:color="auto"/>
              <w:right w:val="single" w:sz="4" w:space="0" w:color="auto"/>
            </w:tcBorders>
            <w:noWrap/>
            <w:vAlign w:val="center"/>
            <w:hideMark/>
          </w:tcPr>
          <w:p w14:paraId="2F16297C"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44.2%</w:t>
            </w:r>
          </w:p>
        </w:tc>
        <w:tc>
          <w:tcPr>
            <w:tcW w:w="1134" w:type="dxa"/>
            <w:tcBorders>
              <w:top w:val="nil"/>
              <w:left w:val="nil"/>
              <w:bottom w:val="single" w:sz="4" w:space="0" w:color="auto"/>
              <w:right w:val="single" w:sz="4" w:space="0" w:color="auto"/>
            </w:tcBorders>
            <w:noWrap/>
            <w:vAlign w:val="center"/>
            <w:hideMark/>
          </w:tcPr>
          <w:p w14:paraId="00424009"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45.5%</w:t>
            </w:r>
          </w:p>
        </w:tc>
        <w:tc>
          <w:tcPr>
            <w:tcW w:w="992" w:type="dxa"/>
            <w:tcBorders>
              <w:top w:val="nil"/>
              <w:left w:val="nil"/>
              <w:bottom w:val="single" w:sz="4" w:space="0" w:color="auto"/>
              <w:right w:val="single" w:sz="4" w:space="0" w:color="auto"/>
            </w:tcBorders>
            <w:noWrap/>
            <w:vAlign w:val="center"/>
            <w:hideMark/>
          </w:tcPr>
          <w:p w14:paraId="089F3F69"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47.2%</w:t>
            </w:r>
          </w:p>
        </w:tc>
        <w:tc>
          <w:tcPr>
            <w:tcW w:w="1134" w:type="dxa"/>
            <w:tcBorders>
              <w:top w:val="nil"/>
              <w:left w:val="nil"/>
              <w:bottom w:val="single" w:sz="4" w:space="0" w:color="auto"/>
              <w:right w:val="single" w:sz="4" w:space="0" w:color="auto"/>
            </w:tcBorders>
            <w:noWrap/>
            <w:vAlign w:val="center"/>
            <w:hideMark/>
          </w:tcPr>
          <w:p w14:paraId="60506414"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51.7%</w:t>
            </w:r>
          </w:p>
        </w:tc>
        <w:tc>
          <w:tcPr>
            <w:tcW w:w="1276" w:type="dxa"/>
            <w:tcBorders>
              <w:top w:val="nil"/>
              <w:left w:val="nil"/>
              <w:bottom w:val="single" w:sz="4" w:space="0" w:color="auto"/>
              <w:right w:val="single" w:sz="4" w:space="0" w:color="auto"/>
            </w:tcBorders>
            <w:noWrap/>
            <w:vAlign w:val="center"/>
            <w:hideMark/>
          </w:tcPr>
          <w:p w14:paraId="071C3FAE"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51.8%</w:t>
            </w:r>
          </w:p>
        </w:tc>
      </w:tr>
      <w:tr w:rsidR="005F032F" w:rsidRPr="005F032F" w14:paraId="6CD153E9" w14:textId="77777777" w:rsidTr="005F032F">
        <w:trPr>
          <w:trHeight w:val="300"/>
        </w:trPr>
        <w:tc>
          <w:tcPr>
            <w:tcW w:w="425" w:type="dxa"/>
            <w:vMerge/>
            <w:tcBorders>
              <w:top w:val="nil"/>
              <w:left w:val="single" w:sz="4" w:space="0" w:color="auto"/>
              <w:bottom w:val="single" w:sz="4" w:space="0" w:color="auto"/>
              <w:right w:val="single" w:sz="4" w:space="0" w:color="auto"/>
            </w:tcBorders>
            <w:vAlign w:val="center"/>
            <w:hideMark/>
          </w:tcPr>
          <w:p w14:paraId="2CD299C5" w14:textId="77777777" w:rsidR="005F032F" w:rsidRPr="005F032F" w:rsidRDefault="005F032F" w:rsidP="002B6146">
            <w:pPr>
              <w:spacing w:after="0" w:line="240" w:lineRule="auto"/>
              <w:rPr>
                <w:rFonts w:eastAsia="Times New Roman" w:cs="Calibri"/>
                <w:color w:val="000000"/>
                <w:kern w:val="0"/>
                <w:sz w:val="22"/>
                <w:szCs w:val="22"/>
                <w:lang w:eastAsia="en-GB"/>
                <w14:ligatures w14:val="none"/>
              </w:rPr>
            </w:pPr>
          </w:p>
        </w:tc>
        <w:tc>
          <w:tcPr>
            <w:tcW w:w="6690" w:type="dxa"/>
            <w:vMerge/>
            <w:tcBorders>
              <w:top w:val="nil"/>
              <w:left w:val="single" w:sz="4" w:space="0" w:color="auto"/>
              <w:bottom w:val="single" w:sz="4" w:space="0" w:color="auto"/>
              <w:right w:val="single" w:sz="4" w:space="0" w:color="auto"/>
            </w:tcBorders>
            <w:vAlign w:val="center"/>
            <w:hideMark/>
          </w:tcPr>
          <w:p w14:paraId="2661F5AE" w14:textId="77777777" w:rsidR="005F032F" w:rsidRPr="005F032F" w:rsidRDefault="005F032F" w:rsidP="002B6146">
            <w:pPr>
              <w:spacing w:after="0" w:line="240" w:lineRule="auto"/>
              <w:rPr>
                <w:rFonts w:eastAsia="Times New Roman" w:cs="Calibri"/>
                <w:color w:val="000000"/>
                <w:kern w:val="0"/>
                <w:sz w:val="22"/>
                <w:szCs w:val="22"/>
                <w:lang w:eastAsia="en-GB"/>
                <w14:ligatures w14:val="none"/>
              </w:rPr>
            </w:pPr>
          </w:p>
        </w:tc>
        <w:tc>
          <w:tcPr>
            <w:tcW w:w="960" w:type="dxa"/>
            <w:tcBorders>
              <w:top w:val="nil"/>
              <w:left w:val="nil"/>
              <w:bottom w:val="single" w:sz="4" w:space="0" w:color="auto"/>
              <w:right w:val="single" w:sz="4" w:space="0" w:color="auto"/>
            </w:tcBorders>
            <w:vAlign w:val="center"/>
            <w:hideMark/>
          </w:tcPr>
          <w:p w14:paraId="171AE942" w14:textId="77777777" w:rsidR="005F032F" w:rsidRPr="005F032F" w:rsidRDefault="005F032F" w:rsidP="002B6146">
            <w:pPr>
              <w:spacing w:after="0" w:line="240" w:lineRule="auto"/>
              <w:jc w:val="right"/>
              <w:rPr>
                <w:rFonts w:eastAsia="Times New Roman" w:cs="Calibri"/>
                <w:kern w:val="0"/>
                <w:sz w:val="22"/>
                <w:szCs w:val="22"/>
                <w:lang w:eastAsia="en-GB"/>
                <w14:ligatures w14:val="none"/>
              </w:rPr>
            </w:pPr>
            <w:r w:rsidRPr="005F032F">
              <w:rPr>
                <w:rFonts w:eastAsia="Times New Roman" w:cs="Calibri"/>
                <w:kern w:val="0"/>
                <w:sz w:val="22"/>
                <w:szCs w:val="22"/>
                <w:lang w:eastAsia="en-GB"/>
                <w14:ligatures w14:val="none"/>
              </w:rPr>
              <w:t>White</w:t>
            </w:r>
          </w:p>
        </w:tc>
        <w:tc>
          <w:tcPr>
            <w:tcW w:w="1276" w:type="dxa"/>
            <w:tcBorders>
              <w:top w:val="nil"/>
              <w:left w:val="nil"/>
              <w:bottom w:val="single" w:sz="4" w:space="0" w:color="auto"/>
              <w:right w:val="single" w:sz="4" w:space="0" w:color="auto"/>
            </w:tcBorders>
            <w:noWrap/>
            <w:vAlign w:val="center"/>
            <w:hideMark/>
          </w:tcPr>
          <w:p w14:paraId="7E7342AB"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56.5%</w:t>
            </w:r>
          </w:p>
        </w:tc>
        <w:tc>
          <w:tcPr>
            <w:tcW w:w="1276" w:type="dxa"/>
            <w:tcBorders>
              <w:top w:val="nil"/>
              <w:left w:val="nil"/>
              <w:bottom w:val="single" w:sz="4" w:space="0" w:color="auto"/>
              <w:right w:val="single" w:sz="4" w:space="0" w:color="auto"/>
            </w:tcBorders>
            <w:noWrap/>
            <w:vAlign w:val="center"/>
            <w:hideMark/>
          </w:tcPr>
          <w:p w14:paraId="26D19515"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61.8%</w:t>
            </w:r>
          </w:p>
        </w:tc>
        <w:tc>
          <w:tcPr>
            <w:tcW w:w="1134" w:type="dxa"/>
            <w:tcBorders>
              <w:top w:val="nil"/>
              <w:left w:val="nil"/>
              <w:bottom w:val="single" w:sz="4" w:space="0" w:color="auto"/>
              <w:right w:val="single" w:sz="4" w:space="0" w:color="auto"/>
            </w:tcBorders>
            <w:noWrap/>
            <w:vAlign w:val="center"/>
            <w:hideMark/>
          </w:tcPr>
          <w:p w14:paraId="5150FCF4"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61.2%</w:t>
            </w:r>
          </w:p>
        </w:tc>
        <w:tc>
          <w:tcPr>
            <w:tcW w:w="992" w:type="dxa"/>
            <w:tcBorders>
              <w:top w:val="nil"/>
              <w:left w:val="nil"/>
              <w:bottom w:val="single" w:sz="4" w:space="0" w:color="auto"/>
              <w:right w:val="single" w:sz="4" w:space="0" w:color="auto"/>
            </w:tcBorders>
            <w:noWrap/>
            <w:vAlign w:val="center"/>
            <w:hideMark/>
          </w:tcPr>
          <w:p w14:paraId="2B04EA91"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63.2%</w:t>
            </w:r>
          </w:p>
        </w:tc>
        <w:tc>
          <w:tcPr>
            <w:tcW w:w="1134" w:type="dxa"/>
            <w:tcBorders>
              <w:top w:val="nil"/>
              <w:left w:val="nil"/>
              <w:bottom w:val="single" w:sz="4" w:space="0" w:color="auto"/>
              <w:right w:val="single" w:sz="4" w:space="0" w:color="auto"/>
            </w:tcBorders>
            <w:noWrap/>
            <w:vAlign w:val="center"/>
            <w:hideMark/>
          </w:tcPr>
          <w:p w14:paraId="76A792EA"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63.1%</w:t>
            </w:r>
          </w:p>
        </w:tc>
        <w:tc>
          <w:tcPr>
            <w:tcW w:w="1276" w:type="dxa"/>
            <w:tcBorders>
              <w:top w:val="nil"/>
              <w:left w:val="nil"/>
              <w:bottom w:val="single" w:sz="4" w:space="0" w:color="auto"/>
              <w:right w:val="single" w:sz="4" w:space="0" w:color="auto"/>
            </w:tcBorders>
            <w:noWrap/>
            <w:vAlign w:val="center"/>
            <w:hideMark/>
          </w:tcPr>
          <w:p w14:paraId="15BC1DD6"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62.2%</w:t>
            </w:r>
          </w:p>
        </w:tc>
      </w:tr>
      <w:tr w:rsidR="005F032F" w:rsidRPr="005F032F" w14:paraId="6F1D402D" w14:textId="77777777" w:rsidTr="005F032F">
        <w:trPr>
          <w:trHeight w:val="300"/>
        </w:trPr>
        <w:tc>
          <w:tcPr>
            <w:tcW w:w="425" w:type="dxa"/>
            <w:vMerge w:val="restart"/>
            <w:tcBorders>
              <w:top w:val="nil"/>
              <w:left w:val="single" w:sz="4" w:space="0" w:color="auto"/>
              <w:bottom w:val="single" w:sz="4" w:space="0" w:color="auto"/>
              <w:right w:val="single" w:sz="4" w:space="0" w:color="auto"/>
            </w:tcBorders>
            <w:vAlign w:val="center"/>
            <w:hideMark/>
          </w:tcPr>
          <w:p w14:paraId="358D0230" w14:textId="77777777" w:rsidR="005F032F" w:rsidRPr="005F032F" w:rsidRDefault="005F032F" w:rsidP="002B6146">
            <w:pPr>
              <w:spacing w:after="0" w:line="240" w:lineRule="auto"/>
              <w:jc w:val="right"/>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8</w:t>
            </w:r>
          </w:p>
        </w:tc>
        <w:tc>
          <w:tcPr>
            <w:tcW w:w="6690" w:type="dxa"/>
            <w:vMerge w:val="restart"/>
            <w:tcBorders>
              <w:top w:val="nil"/>
              <w:left w:val="single" w:sz="4" w:space="0" w:color="auto"/>
              <w:bottom w:val="single" w:sz="4" w:space="0" w:color="auto"/>
              <w:right w:val="single" w:sz="4" w:space="0" w:color="auto"/>
            </w:tcBorders>
            <w:vAlign w:val="center"/>
            <w:hideMark/>
          </w:tcPr>
          <w:p w14:paraId="7D99BEAE" w14:textId="21F9E045" w:rsidR="005F032F" w:rsidRPr="005F032F" w:rsidRDefault="005F032F" w:rsidP="002B6146">
            <w:pPr>
              <w:spacing w:after="0" w:line="240" w:lineRule="auto"/>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Percentage of staff personally experiencing discrimination at work from a manager/team leader or other colleagues</w:t>
            </w:r>
          </w:p>
        </w:tc>
        <w:tc>
          <w:tcPr>
            <w:tcW w:w="960" w:type="dxa"/>
            <w:tcBorders>
              <w:top w:val="nil"/>
              <w:left w:val="nil"/>
              <w:bottom w:val="single" w:sz="4" w:space="0" w:color="auto"/>
              <w:right w:val="single" w:sz="4" w:space="0" w:color="auto"/>
            </w:tcBorders>
            <w:vAlign w:val="center"/>
            <w:hideMark/>
          </w:tcPr>
          <w:p w14:paraId="0E3511D9" w14:textId="77777777" w:rsidR="005F032F" w:rsidRPr="005F032F" w:rsidRDefault="005F032F" w:rsidP="002B6146">
            <w:pPr>
              <w:spacing w:after="0" w:line="240" w:lineRule="auto"/>
              <w:jc w:val="right"/>
              <w:rPr>
                <w:rFonts w:eastAsia="Times New Roman" w:cs="Calibri"/>
                <w:kern w:val="0"/>
                <w:sz w:val="22"/>
                <w:szCs w:val="22"/>
                <w:lang w:eastAsia="en-GB"/>
                <w14:ligatures w14:val="none"/>
              </w:rPr>
            </w:pPr>
            <w:r w:rsidRPr="005F032F">
              <w:rPr>
                <w:rFonts w:eastAsia="Times New Roman" w:cs="Calibri"/>
                <w:kern w:val="0"/>
                <w:sz w:val="22"/>
                <w:szCs w:val="22"/>
                <w:lang w:eastAsia="en-GB"/>
                <w14:ligatures w14:val="none"/>
              </w:rPr>
              <w:t>BME</w:t>
            </w:r>
          </w:p>
        </w:tc>
        <w:tc>
          <w:tcPr>
            <w:tcW w:w="1276" w:type="dxa"/>
            <w:tcBorders>
              <w:top w:val="nil"/>
              <w:left w:val="nil"/>
              <w:bottom w:val="single" w:sz="4" w:space="0" w:color="auto"/>
              <w:right w:val="single" w:sz="4" w:space="0" w:color="auto"/>
            </w:tcBorders>
            <w:noWrap/>
            <w:vAlign w:val="center"/>
            <w:hideMark/>
          </w:tcPr>
          <w:p w14:paraId="24FA7665"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17.4%</w:t>
            </w:r>
          </w:p>
        </w:tc>
        <w:tc>
          <w:tcPr>
            <w:tcW w:w="1276" w:type="dxa"/>
            <w:tcBorders>
              <w:top w:val="nil"/>
              <w:left w:val="nil"/>
              <w:bottom w:val="single" w:sz="4" w:space="0" w:color="auto"/>
              <w:right w:val="single" w:sz="4" w:space="0" w:color="auto"/>
            </w:tcBorders>
            <w:noWrap/>
            <w:vAlign w:val="center"/>
            <w:hideMark/>
          </w:tcPr>
          <w:p w14:paraId="379CBBE3"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17.5%</w:t>
            </w:r>
          </w:p>
        </w:tc>
        <w:tc>
          <w:tcPr>
            <w:tcW w:w="1134" w:type="dxa"/>
            <w:tcBorders>
              <w:top w:val="nil"/>
              <w:left w:val="nil"/>
              <w:bottom w:val="single" w:sz="4" w:space="0" w:color="auto"/>
              <w:right w:val="single" w:sz="4" w:space="0" w:color="auto"/>
            </w:tcBorders>
            <w:noWrap/>
            <w:vAlign w:val="center"/>
            <w:hideMark/>
          </w:tcPr>
          <w:p w14:paraId="12E0B9FA"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16.3%</w:t>
            </w:r>
          </w:p>
        </w:tc>
        <w:tc>
          <w:tcPr>
            <w:tcW w:w="992" w:type="dxa"/>
            <w:tcBorders>
              <w:top w:val="nil"/>
              <w:left w:val="nil"/>
              <w:bottom w:val="single" w:sz="4" w:space="0" w:color="auto"/>
              <w:right w:val="single" w:sz="4" w:space="0" w:color="auto"/>
            </w:tcBorders>
            <w:noWrap/>
            <w:vAlign w:val="center"/>
            <w:hideMark/>
          </w:tcPr>
          <w:p w14:paraId="524B5C60"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16.4%</w:t>
            </w:r>
          </w:p>
        </w:tc>
        <w:tc>
          <w:tcPr>
            <w:tcW w:w="1134" w:type="dxa"/>
            <w:tcBorders>
              <w:top w:val="nil"/>
              <w:left w:val="nil"/>
              <w:bottom w:val="single" w:sz="4" w:space="0" w:color="auto"/>
              <w:right w:val="single" w:sz="4" w:space="0" w:color="auto"/>
            </w:tcBorders>
            <w:noWrap/>
            <w:vAlign w:val="center"/>
            <w:hideMark/>
          </w:tcPr>
          <w:p w14:paraId="30239D54"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18.8%</w:t>
            </w:r>
          </w:p>
        </w:tc>
        <w:tc>
          <w:tcPr>
            <w:tcW w:w="1276" w:type="dxa"/>
            <w:tcBorders>
              <w:top w:val="nil"/>
              <w:left w:val="nil"/>
              <w:bottom w:val="single" w:sz="4" w:space="0" w:color="auto"/>
              <w:right w:val="single" w:sz="4" w:space="0" w:color="auto"/>
            </w:tcBorders>
            <w:noWrap/>
            <w:vAlign w:val="center"/>
            <w:hideMark/>
          </w:tcPr>
          <w:p w14:paraId="615759CF"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18.3%</w:t>
            </w:r>
          </w:p>
        </w:tc>
      </w:tr>
      <w:tr w:rsidR="005F032F" w:rsidRPr="005F032F" w14:paraId="7A54305A" w14:textId="77777777" w:rsidTr="005F032F">
        <w:trPr>
          <w:trHeight w:val="300"/>
        </w:trPr>
        <w:tc>
          <w:tcPr>
            <w:tcW w:w="425" w:type="dxa"/>
            <w:vMerge/>
            <w:tcBorders>
              <w:top w:val="nil"/>
              <w:left w:val="single" w:sz="4" w:space="0" w:color="auto"/>
              <w:bottom w:val="single" w:sz="4" w:space="0" w:color="auto"/>
              <w:right w:val="single" w:sz="4" w:space="0" w:color="auto"/>
            </w:tcBorders>
            <w:vAlign w:val="center"/>
            <w:hideMark/>
          </w:tcPr>
          <w:p w14:paraId="5033E05A" w14:textId="77777777" w:rsidR="005F032F" w:rsidRPr="005F032F" w:rsidRDefault="005F032F" w:rsidP="002B6146">
            <w:pPr>
              <w:spacing w:after="0" w:line="240" w:lineRule="auto"/>
              <w:rPr>
                <w:rFonts w:eastAsia="Times New Roman" w:cs="Calibri"/>
                <w:color w:val="000000"/>
                <w:kern w:val="0"/>
                <w:sz w:val="22"/>
                <w:szCs w:val="22"/>
                <w:lang w:eastAsia="en-GB"/>
                <w14:ligatures w14:val="none"/>
              </w:rPr>
            </w:pPr>
          </w:p>
        </w:tc>
        <w:tc>
          <w:tcPr>
            <w:tcW w:w="6690" w:type="dxa"/>
            <w:vMerge/>
            <w:tcBorders>
              <w:top w:val="nil"/>
              <w:left w:val="single" w:sz="4" w:space="0" w:color="auto"/>
              <w:bottom w:val="single" w:sz="4" w:space="0" w:color="auto"/>
              <w:right w:val="single" w:sz="4" w:space="0" w:color="auto"/>
            </w:tcBorders>
            <w:vAlign w:val="center"/>
            <w:hideMark/>
          </w:tcPr>
          <w:p w14:paraId="7132CD03" w14:textId="77777777" w:rsidR="005F032F" w:rsidRPr="005F032F" w:rsidRDefault="005F032F" w:rsidP="002B6146">
            <w:pPr>
              <w:spacing w:after="0" w:line="240" w:lineRule="auto"/>
              <w:rPr>
                <w:rFonts w:eastAsia="Times New Roman" w:cs="Calibri"/>
                <w:color w:val="000000"/>
                <w:kern w:val="0"/>
                <w:sz w:val="22"/>
                <w:szCs w:val="22"/>
                <w:lang w:eastAsia="en-GB"/>
                <w14:ligatures w14:val="none"/>
              </w:rPr>
            </w:pPr>
          </w:p>
        </w:tc>
        <w:tc>
          <w:tcPr>
            <w:tcW w:w="960" w:type="dxa"/>
            <w:tcBorders>
              <w:top w:val="nil"/>
              <w:left w:val="nil"/>
              <w:bottom w:val="single" w:sz="4" w:space="0" w:color="auto"/>
              <w:right w:val="single" w:sz="4" w:space="0" w:color="auto"/>
            </w:tcBorders>
            <w:vAlign w:val="center"/>
            <w:hideMark/>
          </w:tcPr>
          <w:p w14:paraId="44EFD0A5" w14:textId="77777777" w:rsidR="005F032F" w:rsidRPr="005F032F" w:rsidRDefault="005F032F" w:rsidP="002B6146">
            <w:pPr>
              <w:spacing w:after="0" w:line="240" w:lineRule="auto"/>
              <w:jc w:val="right"/>
              <w:rPr>
                <w:rFonts w:eastAsia="Times New Roman" w:cs="Calibri"/>
                <w:kern w:val="0"/>
                <w:sz w:val="22"/>
                <w:szCs w:val="22"/>
                <w:lang w:eastAsia="en-GB"/>
                <w14:ligatures w14:val="none"/>
              </w:rPr>
            </w:pPr>
            <w:r w:rsidRPr="005F032F">
              <w:rPr>
                <w:rFonts w:eastAsia="Times New Roman" w:cs="Calibri"/>
                <w:kern w:val="0"/>
                <w:sz w:val="22"/>
                <w:szCs w:val="22"/>
                <w:lang w:eastAsia="en-GB"/>
                <w14:ligatures w14:val="none"/>
              </w:rPr>
              <w:t>White</w:t>
            </w:r>
          </w:p>
        </w:tc>
        <w:tc>
          <w:tcPr>
            <w:tcW w:w="1276" w:type="dxa"/>
            <w:tcBorders>
              <w:top w:val="nil"/>
              <w:left w:val="nil"/>
              <w:bottom w:val="single" w:sz="4" w:space="0" w:color="auto"/>
              <w:right w:val="single" w:sz="4" w:space="0" w:color="auto"/>
            </w:tcBorders>
            <w:noWrap/>
            <w:vAlign w:val="center"/>
            <w:hideMark/>
          </w:tcPr>
          <w:p w14:paraId="3F241ACA"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6.3%</w:t>
            </w:r>
          </w:p>
        </w:tc>
        <w:tc>
          <w:tcPr>
            <w:tcW w:w="1276" w:type="dxa"/>
            <w:tcBorders>
              <w:top w:val="nil"/>
              <w:left w:val="nil"/>
              <w:bottom w:val="single" w:sz="4" w:space="0" w:color="auto"/>
              <w:right w:val="single" w:sz="4" w:space="0" w:color="auto"/>
            </w:tcBorders>
            <w:noWrap/>
            <w:vAlign w:val="center"/>
            <w:hideMark/>
          </w:tcPr>
          <w:p w14:paraId="672490D8"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6.0%</w:t>
            </w:r>
          </w:p>
        </w:tc>
        <w:tc>
          <w:tcPr>
            <w:tcW w:w="1134" w:type="dxa"/>
            <w:tcBorders>
              <w:top w:val="nil"/>
              <w:left w:val="nil"/>
              <w:bottom w:val="single" w:sz="4" w:space="0" w:color="auto"/>
              <w:right w:val="single" w:sz="4" w:space="0" w:color="auto"/>
            </w:tcBorders>
            <w:noWrap/>
            <w:vAlign w:val="center"/>
            <w:hideMark/>
          </w:tcPr>
          <w:p w14:paraId="00D5AA08"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5.1%</w:t>
            </w:r>
          </w:p>
        </w:tc>
        <w:tc>
          <w:tcPr>
            <w:tcW w:w="992" w:type="dxa"/>
            <w:tcBorders>
              <w:top w:val="nil"/>
              <w:left w:val="nil"/>
              <w:bottom w:val="single" w:sz="4" w:space="0" w:color="auto"/>
              <w:right w:val="single" w:sz="4" w:space="0" w:color="auto"/>
            </w:tcBorders>
            <w:noWrap/>
            <w:vAlign w:val="center"/>
            <w:hideMark/>
          </w:tcPr>
          <w:p w14:paraId="1FE8962D"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5.3%</w:t>
            </w:r>
          </w:p>
        </w:tc>
        <w:tc>
          <w:tcPr>
            <w:tcW w:w="1134" w:type="dxa"/>
            <w:tcBorders>
              <w:top w:val="nil"/>
              <w:left w:val="nil"/>
              <w:bottom w:val="single" w:sz="4" w:space="0" w:color="auto"/>
              <w:right w:val="single" w:sz="4" w:space="0" w:color="auto"/>
            </w:tcBorders>
            <w:noWrap/>
            <w:vAlign w:val="center"/>
            <w:hideMark/>
          </w:tcPr>
          <w:p w14:paraId="38D608B4"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6.3%</w:t>
            </w:r>
          </w:p>
        </w:tc>
        <w:tc>
          <w:tcPr>
            <w:tcW w:w="1276" w:type="dxa"/>
            <w:tcBorders>
              <w:top w:val="nil"/>
              <w:left w:val="nil"/>
              <w:bottom w:val="single" w:sz="4" w:space="0" w:color="auto"/>
              <w:right w:val="single" w:sz="4" w:space="0" w:color="auto"/>
            </w:tcBorders>
            <w:noWrap/>
            <w:vAlign w:val="center"/>
            <w:hideMark/>
          </w:tcPr>
          <w:p w14:paraId="0618A3E5"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5.7%</w:t>
            </w:r>
          </w:p>
        </w:tc>
      </w:tr>
      <w:tr w:rsidR="005F032F" w:rsidRPr="005F032F" w14:paraId="216E7AD9" w14:textId="77777777" w:rsidTr="005F032F">
        <w:trPr>
          <w:trHeight w:val="600"/>
        </w:trPr>
        <w:tc>
          <w:tcPr>
            <w:tcW w:w="425" w:type="dxa"/>
            <w:tcBorders>
              <w:top w:val="nil"/>
              <w:left w:val="single" w:sz="4" w:space="0" w:color="auto"/>
              <w:bottom w:val="single" w:sz="4" w:space="0" w:color="auto"/>
              <w:right w:val="single" w:sz="4" w:space="0" w:color="auto"/>
            </w:tcBorders>
            <w:noWrap/>
            <w:vAlign w:val="center"/>
            <w:hideMark/>
          </w:tcPr>
          <w:p w14:paraId="0ACFD453" w14:textId="77777777" w:rsidR="005F032F" w:rsidRPr="005F032F" w:rsidRDefault="005F032F" w:rsidP="002B6146">
            <w:pPr>
              <w:spacing w:after="0" w:line="240" w:lineRule="auto"/>
              <w:jc w:val="right"/>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9</w:t>
            </w:r>
          </w:p>
        </w:tc>
        <w:tc>
          <w:tcPr>
            <w:tcW w:w="6690" w:type="dxa"/>
            <w:tcBorders>
              <w:top w:val="nil"/>
              <w:left w:val="nil"/>
              <w:bottom w:val="single" w:sz="4" w:space="0" w:color="auto"/>
              <w:right w:val="single" w:sz="4" w:space="0" w:color="auto"/>
            </w:tcBorders>
            <w:vAlign w:val="center"/>
            <w:hideMark/>
          </w:tcPr>
          <w:p w14:paraId="62112FB8" w14:textId="46D98616" w:rsidR="005F032F" w:rsidRPr="005F032F" w:rsidRDefault="005F032F" w:rsidP="002B6146">
            <w:pPr>
              <w:spacing w:after="0" w:line="240" w:lineRule="auto"/>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 xml:space="preserve">Board membership representation of staff from other ethnic groups </w:t>
            </w:r>
          </w:p>
        </w:tc>
        <w:tc>
          <w:tcPr>
            <w:tcW w:w="960" w:type="dxa"/>
            <w:tcBorders>
              <w:top w:val="nil"/>
              <w:left w:val="nil"/>
              <w:bottom w:val="single" w:sz="4" w:space="0" w:color="auto"/>
              <w:right w:val="single" w:sz="4" w:space="0" w:color="auto"/>
            </w:tcBorders>
            <w:noWrap/>
            <w:vAlign w:val="center"/>
            <w:hideMark/>
          </w:tcPr>
          <w:p w14:paraId="48608F31" w14:textId="77777777" w:rsidR="005F032F" w:rsidRPr="005F032F" w:rsidRDefault="005F032F" w:rsidP="002B6146">
            <w:pPr>
              <w:spacing w:after="0" w:line="240" w:lineRule="auto"/>
              <w:jc w:val="right"/>
              <w:rPr>
                <w:rFonts w:eastAsia="Times New Roman" w:cs="Calibri"/>
                <w:kern w:val="0"/>
                <w:sz w:val="22"/>
                <w:szCs w:val="22"/>
                <w:lang w:eastAsia="en-GB"/>
                <w14:ligatures w14:val="none"/>
              </w:rPr>
            </w:pPr>
            <w:r w:rsidRPr="005F032F">
              <w:rPr>
                <w:rFonts w:eastAsia="Times New Roman" w:cs="Calibri"/>
                <w:kern w:val="0"/>
                <w:sz w:val="22"/>
                <w:szCs w:val="22"/>
                <w:lang w:eastAsia="en-GB"/>
                <w14:ligatures w14:val="none"/>
              </w:rPr>
              <w:t>Overall</w:t>
            </w:r>
          </w:p>
        </w:tc>
        <w:tc>
          <w:tcPr>
            <w:tcW w:w="1276" w:type="dxa"/>
            <w:tcBorders>
              <w:top w:val="nil"/>
              <w:left w:val="nil"/>
              <w:bottom w:val="single" w:sz="4" w:space="0" w:color="auto"/>
              <w:right w:val="single" w:sz="4" w:space="0" w:color="auto"/>
            </w:tcBorders>
            <w:noWrap/>
            <w:vAlign w:val="center"/>
            <w:hideMark/>
          </w:tcPr>
          <w:p w14:paraId="3B62337A"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 </w:t>
            </w:r>
          </w:p>
        </w:tc>
        <w:tc>
          <w:tcPr>
            <w:tcW w:w="1276" w:type="dxa"/>
            <w:tcBorders>
              <w:top w:val="nil"/>
              <w:left w:val="nil"/>
              <w:bottom w:val="single" w:sz="4" w:space="0" w:color="auto"/>
              <w:right w:val="single" w:sz="4" w:space="0" w:color="auto"/>
            </w:tcBorders>
            <w:noWrap/>
            <w:vAlign w:val="center"/>
            <w:hideMark/>
          </w:tcPr>
          <w:p w14:paraId="415D9FA5"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5.6%</w:t>
            </w:r>
          </w:p>
        </w:tc>
        <w:tc>
          <w:tcPr>
            <w:tcW w:w="1134" w:type="dxa"/>
            <w:tcBorders>
              <w:top w:val="nil"/>
              <w:left w:val="nil"/>
              <w:bottom w:val="single" w:sz="4" w:space="0" w:color="auto"/>
              <w:right w:val="single" w:sz="4" w:space="0" w:color="auto"/>
            </w:tcBorders>
            <w:noWrap/>
            <w:vAlign w:val="center"/>
            <w:hideMark/>
          </w:tcPr>
          <w:p w14:paraId="3FC24BFE"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16.7%</w:t>
            </w:r>
          </w:p>
        </w:tc>
        <w:tc>
          <w:tcPr>
            <w:tcW w:w="992" w:type="dxa"/>
            <w:tcBorders>
              <w:top w:val="nil"/>
              <w:left w:val="nil"/>
              <w:bottom w:val="single" w:sz="4" w:space="0" w:color="auto"/>
              <w:right w:val="single" w:sz="4" w:space="0" w:color="auto"/>
            </w:tcBorders>
            <w:noWrap/>
            <w:vAlign w:val="center"/>
            <w:hideMark/>
          </w:tcPr>
          <w:p w14:paraId="1BEA1AF4"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16.7%</w:t>
            </w:r>
          </w:p>
        </w:tc>
        <w:tc>
          <w:tcPr>
            <w:tcW w:w="1134" w:type="dxa"/>
            <w:tcBorders>
              <w:top w:val="nil"/>
              <w:left w:val="nil"/>
              <w:bottom w:val="single" w:sz="4" w:space="0" w:color="auto"/>
              <w:right w:val="single" w:sz="4" w:space="0" w:color="auto"/>
            </w:tcBorders>
            <w:noWrap/>
            <w:vAlign w:val="center"/>
            <w:hideMark/>
          </w:tcPr>
          <w:p w14:paraId="7F18C7A5"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15.0%</w:t>
            </w:r>
          </w:p>
        </w:tc>
        <w:tc>
          <w:tcPr>
            <w:tcW w:w="1276" w:type="dxa"/>
            <w:tcBorders>
              <w:top w:val="nil"/>
              <w:left w:val="nil"/>
              <w:bottom w:val="single" w:sz="4" w:space="0" w:color="auto"/>
              <w:right w:val="single" w:sz="4" w:space="0" w:color="auto"/>
            </w:tcBorders>
            <w:noWrap/>
            <w:vAlign w:val="center"/>
            <w:hideMark/>
          </w:tcPr>
          <w:p w14:paraId="74B0104E" w14:textId="77777777" w:rsidR="005F032F" w:rsidRPr="005F032F" w:rsidRDefault="005F032F" w:rsidP="002B6146">
            <w:pPr>
              <w:spacing w:after="0" w:line="240" w:lineRule="auto"/>
              <w:jc w:val="center"/>
              <w:rPr>
                <w:rFonts w:eastAsia="Times New Roman" w:cs="Calibri"/>
                <w:color w:val="000000"/>
                <w:kern w:val="0"/>
                <w:sz w:val="22"/>
                <w:szCs w:val="22"/>
                <w:lang w:eastAsia="en-GB"/>
                <w14:ligatures w14:val="none"/>
              </w:rPr>
            </w:pPr>
            <w:r w:rsidRPr="005F032F">
              <w:rPr>
                <w:rFonts w:eastAsia="Times New Roman" w:cs="Calibri"/>
                <w:color w:val="000000"/>
                <w:kern w:val="0"/>
                <w:sz w:val="22"/>
                <w:szCs w:val="22"/>
                <w:lang w:eastAsia="en-GB"/>
                <w14:ligatures w14:val="none"/>
              </w:rPr>
              <w:t>9.5%</w:t>
            </w:r>
          </w:p>
        </w:tc>
      </w:tr>
    </w:tbl>
    <w:p w14:paraId="36CF8E29" w14:textId="4C5BD8BF" w:rsidR="00036217" w:rsidRPr="00036217" w:rsidRDefault="005F032F" w:rsidP="00036217">
      <w:r w:rsidRPr="005F032F">
        <w:t>Note: staff survey metrics are 1 year behind submission year; 2025 data shown in this table is 2024 staff survey metrics.</w:t>
      </w:r>
      <w:r>
        <w:t xml:space="preserve"> </w:t>
      </w:r>
      <w:r w:rsidRPr="005F032F">
        <w:t xml:space="preserve">This table is an accessible version of the chart on page </w:t>
      </w:r>
      <w:r>
        <w:t>7</w:t>
      </w:r>
      <w:r w:rsidRPr="005F032F">
        <w:t>.</w:t>
      </w:r>
    </w:p>
    <w:sectPr w:rsidR="00036217" w:rsidRPr="00036217" w:rsidSect="005F032F">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7F5B22" w14:textId="77777777" w:rsidR="00323BA5" w:rsidRDefault="00323BA5" w:rsidP="00036217">
      <w:pPr>
        <w:spacing w:after="0" w:line="240" w:lineRule="auto"/>
      </w:pPr>
      <w:r>
        <w:separator/>
      </w:r>
    </w:p>
  </w:endnote>
  <w:endnote w:type="continuationSeparator" w:id="0">
    <w:p w14:paraId="396F8FF9" w14:textId="77777777" w:rsidR="00323BA5" w:rsidRDefault="00323BA5" w:rsidP="000362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9032708"/>
      <w:docPartObj>
        <w:docPartGallery w:val="Page Numbers (Bottom of Page)"/>
        <w:docPartUnique/>
      </w:docPartObj>
    </w:sdtPr>
    <w:sdtEndPr>
      <w:rPr>
        <w:color w:val="7F7F7F" w:themeColor="background1" w:themeShade="7F"/>
        <w:spacing w:val="60"/>
      </w:rPr>
    </w:sdtEndPr>
    <w:sdtContent>
      <w:p w14:paraId="07717361" w14:textId="13CE2CC2" w:rsidR="007476FB" w:rsidRDefault="007476F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3548928" w14:textId="2F2F8CFA" w:rsidR="007476FB" w:rsidRDefault="007476FB">
    <w:pPr>
      <w:pStyle w:val="Footer"/>
    </w:pPr>
    <w:r>
      <w:t>The Dudley Group NHS Foundation Trust</w:t>
    </w:r>
  </w:p>
  <w:p w14:paraId="0276984E" w14:textId="0D4173A5" w:rsidR="007476FB" w:rsidRDefault="007476FB">
    <w:pPr>
      <w:pStyle w:val="Footer"/>
    </w:pPr>
    <w:r>
      <w:t>Workforce Race Equality Standard Annual Report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2CEF00" w14:textId="77777777" w:rsidR="00323BA5" w:rsidRDefault="00323BA5" w:rsidP="00036217">
      <w:pPr>
        <w:spacing w:after="0" w:line="240" w:lineRule="auto"/>
      </w:pPr>
      <w:r>
        <w:separator/>
      </w:r>
    </w:p>
  </w:footnote>
  <w:footnote w:type="continuationSeparator" w:id="0">
    <w:p w14:paraId="34F62CB0" w14:textId="77777777" w:rsidR="00323BA5" w:rsidRDefault="00323BA5" w:rsidP="000362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D5915" w14:textId="15B65A48" w:rsidR="00640387" w:rsidRDefault="006403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C066D"/>
    <w:multiLevelType w:val="multilevel"/>
    <w:tmpl w:val="83B2D8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6D6579"/>
    <w:multiLevelType w:val="hybridMultilevel"/>
    <w:tmpl w:val="4FDE7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DD65F5"/>
    <w:multiLevelType w:val="hybridMultilevel"/>
    <w:tmpl w:val="8D4C3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B117C8"/>
    <w:multiLevelType w:val="multilevel"/>
    <w:tmpl w:val="17D0F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EC75617"/>
    <w:multiLevelType w:val="multilevel"/>
    <w:tmpl w:val="D6645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0783272"/>
    <w:multiLevelType w:val="hybridMultilevel"/>
    <w:tmpl w:val="1BFAC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A329C5"/>
    <w:multiLevelType w:val="hybridMultilevel"/>
    <w:tmpl w:val="24CAA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E1253C"/>
    <w:multiLevelType w:val="hybridMultilevel"/>
    <w:tmpl w:val="5412C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A20315"/>
    <w:multiLevelType w:val="multilevel"/>
    <w:tmpl w:val="EBE69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A17297E"/>
    <w:multiLevelType w:val="hybridMultilevel"/>
    <w:tmpl w:val="24FC3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5D5F2E"/>
    <w:multiLevelType w:val="hybridMultilevel"/>
    <w:tmpl w:val="8B6E76F4"/>
    <w:lvl w:ilvl="0" w:tplc="09BA7E1E">
      <w:start w:val="1"/>
      <w:numFmt w:val="bullet"/>
      <w:lvlText w:val=""/>
      <w:lvlJc w:val="left"/>
      <w:pPr>
        <w:ind w:left="720" w:hanging="360"/>
      </w:pPr>
      <w:rPr>
        <w:rFonts w:ascii="Symbol" w:hAnsi="Symbol" w:hint="default"/>
      </w:rPr>
    </w:lvl>
    <w:lvl w:ilvl="1" w:tplc="A906E9BE">
      <w:start w:val="1"/>
      <w:numFmt w:val="bullet"/>
      <w:lvlText w:val="o"/>
      <w:lvlJc w:val="left"/>
      <w:pPr>
        <w:ind w:left="1440" w:hanging="360"/>
      </w:pPr>
      <w:rPr>
        <w:rFonts w:ascii="Courier New" w:hAnsi="Courier New" w:hint="default"/>
      </w:rPr>
    </w:lvl>
    <w:lvl w:ilvl="2" w:tplc="AE385126">
      <w:start w:val="1"/>
      <w:numFmt w:val="bullet"/>
      <w:lvlText w:val=""/>
      <w:lvlJc w:val="left"/>
      <w:pPr>
        <w:ind w:left="2160" w:hanging="360"/>
      </w:pPr>
      <w:rPr>
        <w:rFonts w:ascii="Wingdings" w:hAnsi="Wingdings" w:hint="default"/>
      </w:rPr>
    </w:lvl>
    <w:lvl w:ilvl="3" w:tplc="A4AE187E">
      <w:start w:val="1"/>
      <w:numFmt w:val="bullet"/>
      <w:lvlText w:val=""/>
      <w:lvlJc w:val="left"/>
      <w:pPr>
        <w:ind w:left="2880" w:hanging="360"/>
      </w:pPr>
      <w:rPr>
        <w:rFonts w:ascii="Symbol" w:hAnsi="Symbol" w:hint="default"/>
      </w:rPr>
    </w:lvl>
    <w:lvl w:ilvl="4" w:tplc="0AD28020">
      <w:start w:val="1"/>
      <w:numFmt w:val="bullet"/>
      <w:lvlText w:val="o"/>
      <w:lvlJc w:val="left"/>
      <w:pPr>
        <w:ind w:left="3600" w:hanging="360"/>
      </w:pPr>
      <w:rPr>
        <w:rFonts w:ascii="Courier New" w:hAnsi="Courier New" w:hint="default"/>
      </w:rPr>
    </w:lvl>
    <w:lvl w:ilvl="5" w:tplc="E3DE441E">
      <w:start w:val="1"/>
      <w:numFmt w:val="bullet"/>
      <w:lvlText w:val=""/>
      <w:lvlJc w:val="left"/>
      <w:pPr>
        <w:ind w:left="4320" w:hanging="360"/>
      </w:pPr>
      <w:rPr>
        <w:rFonts w:ascii="Wingdings" w:hAnsi="Wingdings" w:hint="default"/>
      </w:rPr>
    </w:lvl>
    <w:lvl w:ilvl="6" w:tplc="B07AC1C6">
      <w:start w:val="1"/>
      <w:numFmt w:val="bullet"/>
      <w:lvlText w:val=""/>
      <w:lvlJc w:val="left"/>
      <w:pPr>
        <w:ind w:left="5040" w:hanging="360"/>
      </w:pPr>
      <w:rPr>
        <w:rFonts w:ascii="Symbol" w:hAnsi="Symbol" w:hint="default"/>
      </w:rPr>
    </w:lvl>
    <w:lvl w:ilvl="7" w:tplc="671AD376">
      <w:start w:val="1"/>
      <w:numFmt w:val="bullet"/>
      <w:lvlText w:val="o"/>
      <w:lvlJc w:val="left"/>
      <w:pPr>
        <w:ind w:left="5760" w:hanging="360"/>
      </w:pPr>
      <w:rPr>
        <w:rFonts w:ascii="Courier New" w:hAnsi="Courier New" w:hint="default"/>
      </w:rPr>
    </w:lvl>
    <w:lvl w:ilvl="8" w:tplc="F7484D02">
      <w:start w:val="1"/>
      <w:numFmt w:val="bullet"/>
      <w:lvlText w:val=""/>
      <w:lvlJc w:val="left"/>
      <w:pPr>
        <w:ind w:left="6480" w:hanging="360"/>
      </w:pPr>
      <w:rPr>
        <w:rFonts w:ascii="Wingdings" w:hAnsi="Wingdings" w:hint="default"/>
      </w:rPr>
    </w:lvl>
  </w:abstractNum>
  <w:abstractNum w:abstractNumId="11" w15:restartNumberingAfterBreak="0">
    <w:nsid w:val="72EA5944"/>
    <w:multiLevelType w:val="hybridMultilevel"/>
    <w:tmpl w:val="C1904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1B3499"/>
    <w:multiLevelType w:val="hybridMultilevel"/>
    <w:tmpl w:val="21AE7D9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78C91C0E"/>
    <w:multiLevelType w:val="multilevel"/>
    <w:tmpl w:val="73FAC9E2"/>
    <w:lvl w:ilvl="0">
      <w:start w:val="1"/>
      <w:numFmt w:val="decimal"/>
      <w:lvlText w:val="%1."/>
      <w:lvlJc w:val="left"/>
      <w:pPr>
        <w:ind w:left="720" w:hanging="360"/>
      </w:pPr>
      <w:rPr>
        <w:rFonts w:hint="default"/>
        <w:b/>
        <w:i w:val="0"/>
        <w:sz w:val="24"/>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7F09529E"/>
    <w:multiLevelType w:val="hybridMultilevel"/>
    <w:tmpl w:val="9A540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A234E3"/>
    <w:multiLevelType w:val="multilevel"/>
    <w:tmpl w:val="648E3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07217120">
    <w:abstractNumId w:val="10"/>
  </w:num>
  <w:num w:numId="2" w16cid:durableId="1273050628">
    <w:abstractNumId w:val="1"/>
  </w:num>
  <w:num w:numId="3" w16cid:durableId="1883050548">
    <w:abstractNumId w:val="3"/>
  </w:num>
  <w:num w:numId="4" w16cid:durableId="1149589497">
    <w:abstractNumId w:val="15"/>
  </w:num>
  <w:num w:numId="5" w16cid:durableId="529297334">
    <w:abstractNumId w:val="8"/>
  </w:num>
  <w:num w:numId="6" w16cid:durableId="1287394775">
    <w:abstractNumId w:val="4"/>
  </w:num>
  <w:num w:numId="7" w16cid:durableId="693072399">
    <w:abstractNumId w:val="14"/>
  </w:num>
  <w:num w:numId="8" w16cid:durableId="567689858">
    <w:abstractNumId w:val="9"/>
  </w:num>
  <w:num w:numId="9" w16cid:durableId="1316642136">
    <w:abstractNumId w:val="5"/>
  </w:num>
  <w:num w:numId="10" w16cid:durableId="2066102887">
    <w:abstractNumId w:val="6"/>
  </w:num>
  <w:num w:numId="11" w16cid:durableId="593049216">
    <w:abstractNumId w:val="2"/>
  </w:num>
  <w:num w:numId="12" w16cid:durableId="580255781">
    <w:abstractNumId w:val="7"/>
  </w:num>
  <w:num w:numId="13" w16cid:durableId="1959990038">
    <w:abstractNumId w:val="11"/>
  </w:num>
  <w:num w:numId="14" w16cid:durableId="2132089186">
    <w:abstractNumId w:val="12"/>
  </w:num>
  <w:num w:numId="15" w16cid:durableId="837961059">
    <w:abstractNumId w:val="13"/>
  </w:num>
  <w:num w:numId="16" w16cid:durableId="660550780">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7F7"/>
    <w:rsid w:val="000006E8"/>
    <w:rsid w:val="00004477"/>
    <w:rsid w:val="0000625D"/>
    <w:rsid w:val="00006DA6"/>
    <w:rsid w:val="00006EB7"/>
    <w:rsid w:val="00006F0E"/>
    <w:rsid w:val="000112B7"/>
    <w:rsid w:val="00013AB0"/>
    <w:rsid w:val="0001566F"/>
    <w:rsid w:val="0001600A"/>
    <w:rsid w:val="000177A6"/>
    <w:rsid w:val="00021438"/>
    <w:rsid w:val="00022FF6"/>
    <w:rsid w:val="000303C9"/>
    <w:rsid w:val="00031722"/>
    <w:rsid w:val="000340C9"/>
    <w:rsid w:val="00034399"/>
    <w:rsid w:val="000346EA"/>
    <w:rsid w:val="00034ADA"/>
    <w:rsid w:val="00036217"/>
    <w:rsid w:val="0003714D"/>
    <w:rsid w:val="000373ED"/>
    <w:rsid w:val="000421D4"/>
    <w:rsid w:val="0004324F"/>
    <w:rsid w:val="00044506"/>
    <w:rsid w:val="00052A61"/>
    <w:rsid w:val="00062F3E"/>
    <w:rsid w:val="0006378E"/>
    <w:rsid w:val="00067F03"/>
    <w:rsid w:val="000719E0"/>
    <w:rsid w:val="00073F15"/>
    <w:rsid w:val="00074697"/>
    <w:rsid w:val="0007731B"/>
    <w:rsid w:val="00077A98"/>
    <w:rsid w:val="0008075F"/>
    <w:rsid w:val="00082050"/>
    <w:rsid w:val="00082F03"/>
    <w:rsid w:val="00086451"/>
    <w:rsid w:val="00087A8D"/>
    <w:rsid w:val="000900C1"/>
    <w:rsid w:val="000902A6"/>
    <w:rsid w:val="00091164"/>
    <w:rsid w:val="00091275"/>
    <w:rsid w:val="00091678"/>
    <w:rsid w:val="0009499D"/>
    <w:rsid w:val="00095504"/>
    <w:rsid w:val="00097794"/>
    <w:rsid w:val="000A5378"/>
    <w:rsid w:val="000A59E7"/>
    <w:rsid w:val="000B35DF"/>
    <w:rsid w:val="000B39CD"/>
    <w:rsid w:val="000B5DD6"/>
    <w:rsid w:val="000B7518"/>
    <w:rsid w:val="000C73A9"/>
    <w:rsid w:val="000C7AF5"/>
    <w:rsid w:val="000C7B79"/>
    <w:rsid w:val="000D056B"/>
    <w:rsid w:val="000D1287"/>
    <w:rsid w:val="000D2B48"/>
    <w:rsid w:val="000D58E9"/>
    <w:rsid w:val="000D6A7F"/>
    <w:rsid w:val="000E3304"/>
    <w:rsid w:val="000E763D"/>
    <w:rsid w:val="000F2043"/>
    <w:rsid w:val="000F54FC"/>
    <w:rsid w:val="000F641E"/>
    <w:rsid w:val="001060DD"/>
    <w:rsid w:val="00110AA0"/>
    <w:rsid w:val="00113CAA"/>
    <w:rsid w:val="00115D4E"/>
    <w:rsid w:val="001227FC"/>
    <w:rsid w:val="001260F4"/>
    <w:rsid w:val="00126C91"/>
    <w:rsid w:val="00131534"/>
    <w:rsid w:val="0013290F"/>
    <w:rsid w:val="0013338A"/>
    <w:rsid w:val="00133A04"/>
    <w:rsid w:val="00140848"/>
    <w:rsid w:val="00141676"/>
    <w:rsid w:val="00141F85"/>
    <w:rsid w:val="00142495"/>
    <w:rsid w:val="00144BF7"/>
    <w:rsid w:val="00147A5E"/>
    <w:rsid w:val="00151B6E"/>
    <w:rsid w:val="00153779"/>
    <w:rsid w:val="0016192C"/>
    <w:rsid w:val="00162F71"/>
    <w:rsid w:val="00166354"/>
    <w:rsid w:val="00166B85"/>
    <w:rsid w:val="00170098"/>
    <w:rsid w:val="001709C1"/>
    <w:rsid w:val="00173C37"/>
    <w:rsid w:val="001763DD"/>
    <w:rsid w:val="00181092"/>
    <w:rsid w:val="001821A6"/>
    <w:rsid w:val="001834A9"/>
    <w:rsid w:val="001835BC"/>
    <w:rsid w:val="001858E7"/>
    <w:rsid w:val="001869C4"/>
    <w:rsid w:val="0019041B"/>
    <w:rsid w:val="00193F43"/>
    <w:rsid w:val="001A0AA3"/>
    <w:rsid w:val="001A23F4"/>
    <w:rsid w:val="001A5700"/>
    <w:rsid w:val="001A5A5D"/>
    <w:rsid w:val="001A628C"/>
    <w:rsid w:val="001A69FE"/>
    <w:rsid w:val="001B2738"/>
    <w:rsid w:val="001B32E9"/>
    <w:rsid w:val="001B3ACB"/>
    <w:rsid w:val="001B42B0"/>
    <w:rsid w:val="001B6E1C"/>
    <w:rsid w:val="001C0874"/>
    <w:rsid w:val="001C2B1B"/>
    <w:rsid w:val="001C6EDF"/>
    <w:rsid w:val="001C721C"/>
    <w:rsid w:val="001D161B"/>
    <w:rsid w:val="001D315B"/>
    <w:rsid w:val="001D68EA"/>
    <w:rsid w:val="001E2AD7"/>
    <w:rsid w:val="001E44BA"/>
    <w:rsid w:val="001E50FD"/>
    <w:rsid w:val="001E7CDE"/>
    <w:rsid w:val="001F25EA"/>
    <w:rsid w:val="001F4D41"/>
    <w:rsid w:val="00201911"/>
    <w:rsid w:val="00202EAD"/>
    <w:rsid w:val="00204D74"/>
    <w:rsid w:val="00206477"/>
    <w:rsid w:val="002101ED"/>
    <w:rsid w:val="00212E96"/>
    <w:rsid w:val="00215A2B"/>
    <w:rsid w:val="00216935"/>
    <w:rsid w:val="00220B57"/>
    <w:rsid w:val="00221A0A"/>
    <w:rsid w:val="00234F1C"/>
    <w:rsid w:val="00236E35"/>
    <w:rsid w:val="0024004C"/>
    <w:rsid w:val="00244F45"/>
    <w:rsid w:val="0024561C"/>
    <w:rsid w:val="00246499"/>
    <w:rsid w:val="00246675"/>
    <w:rsid w:val="002468F1"/>
    <w:rsid w:val="00246A56"/>
    <w:rsid w:val="00246B4D"/>
    <w:rsid w:val="00253847"/>
    <w:rsid w:val="00255098"/>
    <w:rsid w:val="00260C1A"/>
    <w:rsid w:val="00262B11"/>
    <w:rsid w:val="002634A3"/>
    <w:rsid w:val="00264F76"/>
    <w:rsid w:val="00266CAF"/>
    <w:rsid w:val="0026721B"/>
    <w:rsid w:val="00283BCF"/>
    <w:rsid w:val="00284D34"/>
    <w:rsid w:val="00284E23"/>
    <w:rsid w:val="00285BAA"/>
    <w:rsid w:val="0028688E"/>
    <w:rsid w:val="00287050"/>
    <w:rsid w:val="00291E06"/>
    <w:rsid w:val="00292410"/>
    <w:rsid w:val="0029252E"/>
    <w:rsid w:val="002932C8"/>
    <w:rsid w:val="002961B8"/>
    <w:rsid w:val="002B1B70"/>
    <w:rsid w:val="002B5666"/>
    <w:rsid w:val="002B70D9"/>
    <w:rsid w:val="002B77F7"/>
    <w:rsid w:val="002C240E"/>
    <w:rsid w:val="002C2DF8"/>
    <w:rsid w:val="002C3C34"/>
    <w:rsid w:val="002C7F8E"/>
    <w:rsid w:val="002D0075"/>
    <w:rsid w:val="002D0330"/>
    <w:rsid w:val="002D05A1"/>
    <w:rsid w:val="002D37E1"/>
    <w:rsid w:val="002E01BA"/>
    <w:rsid w:val="002E0889"/>
    <w:rsid w:val="002E29C4"/>
    <w:rsid w:val="002E3ED1"/>
    <w:rsid w:val="002E64F3"/>
    <w:rsid w:val="002E7B9B"/>
    <w:rsid w:val="002F4E01"/>
    <w:rsid w:val="002F5698"/>
    <w:rsid w:val="002F5FCC"/>
    <w:rsid w:val="00302E26"/>
    <w:rsid w:val="00305F9F"/>
    <w:rsid w:val="00306A22"/>
    <w:rsid w:val="0031133A"/>
    <w:rsid w:val="00323BA5"/>
    <w:rsid w:val="00326BB4"/>
    <w:rsid w:val="00334D2D"/>
    <w:rsid w:val="003366C3"/>
    <w:rsid w:val="00337021"/>
    <w:rsid w:val="00350327"/>
    <w:rsid w:val="00350C4A"/>
    <w:rsid w:val="00353E6B"/>
    <w:rsid w:val="00355C4C"/>
    <w:rsid w:val="00356636"/>
    <w:rsid w:val="00356707"/>
    <w:rsid w:val="003702A6"/>
    <w:rsid w:val="0037628C"/>
    <w:rsid w:val="00376E75"/>
    <w:rsid w:val="003804DB"/>
    <w:rsid w:val="003855B5"/>
    <w:rsid w:val="00386B80"/>
    <w:rsid w:val="00387DA2"/>
    <w:rsid w:val="00390B3B"/>
    <w:rsid w:val="00392108"/>
    <w:rsid w:val="00393892"/>
    <w:rsid w:val="00395CD3"/>
    <w:rsid w:val="003A32BD"/>
    <w:rsid w:val="003A3727"/>
    <w:rsid w:val="003A758D"/>
    <w:rsid w:val="003B7296"/>
    <w:rsid w:val="003C1903"/>
    <w:rsid w:val="003D0C9B"/>
    <w:rsid w:val="003D65E2"/>
    <w:rsid w:val="003E704F"/>
    <w:rsid w:val="003E7611"/>
    <w:rsid w:val="003F05A4"/>
    <w:rsid w:val="003F2735"/>
    <w:rsid w:val="003F6B70"/>
    <w:rsid w:val="003F7D14"/>
    <w:rsid w:val="0040507B"/>
    <w:rsid w:val="0040518C"/>
    <w:rsid w:val="00406882"/>
    <w:rsid w:val="00410AAF"/>
    <w:rsid w:val="00416D15"/>
    <w:rsid w:val="00422CDD"/>
    <w:rsid w:val="0043337F"/>
    <w:rsid w:val="00434CAE"/>
    <w:rsid w:val="004368E2"/>
    <w:rsid w:val="0045263B"/>
    <w:rsid w:val="00452E62"/>
    <w:rsid w:val="0045450D"/>
    <w:rsid w:val="00454954"/>
    <w:rsid w:val="004554BF"/>
    <w:rsid w:val="004577DC"/>
    <w:rsid w:val="0046143D"/>
    <w:rsid w:val="00462F4F"/>
    <w:rsid w:val="004654AC"/>
    <w:rsid w:val="004660E2"/>
    <w:rsid w:val="00466F81"/>
    <w:rsid w:val="004677E0"/>
    <w:rsid w:val="0047303C"/>
    <w:rsid w:val="00477738"/>
    <w:rsid w:val="00487645"/>
    <w:rsid w:val="00492CD3"/>
    <w:rsid w:val="004968F8"/>
    <w:rsid w:val="00497A0A"/>
    <w:rsid w:val="004A1417"/>
    <w:rsid w:val="004A2D94"/>
    <w:rsid w:val="004A320A"/>
    <w:rsid w:val="004A4615"/>
    <w:rsid w:val="004A4CE8"/>
    <w:rsid w:val="004A53ED"/>
    <w:rsid w:val="004B0E7A"/>
    <w:rsid w:val="004B2763"/>
    <w:rsid w:val="004C0F55"/>
    <w:rsid w:val="004C12E9"/>
    <w:rsid w:val="004C3893"/>
    <w:rsid w:val="004C7137"/>
    <w:rsid w:val="004D4779"/>
    <w:rsid w:val="004D488E"/>
    <w:rsid w:val="004D712E"/>
    <w:rsid w:val="004D7317"/>
    <w:rsid w:val="004D7C94"/>
    <w:rsid w:val="004E4CD3"/>
    <w:rsid w:val="004F2364"/>
    <w:rsid w:val="004F53E0"/>
    <w:rsid w:val="00502C0B"/>
    <w:rsid w:val="0050540F"/>
    <w:rsid w:val="00506893"/>
    <w:rsid w:val="00507F4A"/>
    <w:rsid w:val="00514B44"/>
    <w:rsid w:val="00515B6F"/>
    <w:rsid w:val="00515C94"/>
    <w:rsid w:val="00516CE6"/>
    <w:rsid w:val="005230D2"/>
    <w:rsid w:val="005234CA"/>
    <w:rsid w:val="00525A4A"/>
    <w:rsid w:val="00527E3A"/>
    <w:rsid w:val="005307E5"/>
    <w:rsid w:val="0053334C"/>
    <w:rsid w:val="00533424"/>
    <w:rsid w:val="00533507"/>
    <w:rsid w:val="00533854"/>
    <w:rsid w:val="00534B73"/>
    <w:rsid w:val="0053753B"/>
    <w:rsid w:val="0054256C"/>
    <w:rsid w:val="005446D0"/>
    <w:rsid w:val="005471DB"/>
    <w:rsid w:val="00550680"/>
    <w:rsid w:val="00550F9E"/>
    <w:rsid w:val="00552A9D"/>
    <w:rsid w:val="00555CF4"/>
    <w:rsid w:val="00561183"/>
    <w:rsid w:val="00570384"/>
    <w:rsid w:val="0057494E"/>
    <w:rsid w:val="0058052E"/>
    <w:rsid w:val="00584737"/>
    <w:rsid w:val="00590858"/>
    <w:rsid w:val="00595574"/>
    <w:rsid w:val="005A10FB"/>
    <w:rsid w:val="005A7824"/>
    <w:rsid w:val="005B22D8"/>
    <w:rsid w:val="005B2FA9"/>
    <w:rsid w:val="005B3212"/>
    <w:rsid w:val="005B6C89"/>
    <w:rsid w:val="005C0B5F"/>
    <w:rsid w:val="005C39DB"/>
    <w:rsid w:val="005C4F3F"/>
    <w:rsid w:val="005C6FC6"/>
    <w:rsid w:val="005C703A"/>
    <w:rsid w:val="005C7075"/>
    <w:rsid w:val="005D042C"/>
    <w:rsid w:val="005D04DE"/>
    <w:rsid w:val="005D19B8"/>
    <w:rsid w:val="005D367A"/>
    <w:rsid w:val="005D4C28"/>
    <w:rsid w:val="005D6269"/>
    <w:rsid w:val="005E4FCA"/>
    <w:rsid w:val="005E5DD1"/>
    <w:rsid w:val="005F032F"/>
    <w:rsid w:val="005F7C12"/>
    <w:rsid w:val="00600455"/>
    <w:rsid w:val="0060397C"/>
    <w:rsid w:val="00604F3E"/>
    <w:rsid w:val="00607B15"/>
    <w:rsid w:val="006117F7"/>
    <w:rsid w:val="00614712"/>
    <w:rsid w:val="006173A6"/>
    <w:rsid w:val="00621799"/>
    <w:rsid w:val="0062256C"/>
    <w:rsid w:val="006241D1"/>
    <w:rsid w:val="00624B6C"/>
    <w:rsid w:val="0062562E"/>
    <w:rsid w:val="006304B4"/>
    <w:rsid w:val="00635B71"/>
    <w:rsid w:val="00635CF4"/>
    <w:rsid w:val="00636E23"/>
    <w:rsid w:val="00640387"/>
    <w:rsid w:val="00645318"/>
    <w:rsid w:val="0064629E"/>
    <w:rsid w:val="00653296"/>
    <w:rsid w:val="00654157"/>
    <w:rsid w:val="00654FA6"/>
    <w:rsid w:val="00655F41"/>
    <w:rsid w:val="00656062"/>
    <w:rsid w:val="006602E6"/>
    <w:rsid w:val="0067100E"/>
    <w:rsid w:val="00672E04"/>
    <w:rsid w:val="0067693E"/>
    <w:rsid w:val="00682643"/>
    <w:rsid w:val="00683B40"/>
    <w:rsid w:val="0068580E"/>
    <w:rsid w:val="00690CF9"/>
    <w:rsid w:val="006912A2"/>
    <w:rsid w:val="0069343B"/>
    <w:rsid w:val="00693BB5"/>
    <w:rsid w:val="00695A7B"/>
    <w:rsid w:val="006A0243"/>
    <w:rsid w:val="006A6089"/>
    <w:rsid w:val="006A6298"/>
    <w:rsid w:val="006A6B32"/>
    <w:rsid w:val="006B3A5B"/>
    <w:rsid w:val="006C7471"/>
    <w:rsid w:val="006D1773"/>
    <w:rsid w:val="006D3894"/>
    <w:rsid w:val="006D6BB1"/>
    <w:rsid w:val="006D71AF"/>
    <w:rsid w:val="006E21E9"/>
    <w:rsid w:val="006E55E5"/>
    <w:rsid w:val="006F2B0B"/>
    <w:rsid w:val="006F3F76"/>
    <w:rsid w:val="00704D9D"/>
    <w:rsid w:val="0071016F"/>
    <w:rsid w:val="00711164"/>
    <w:rsid w:val="00712517"/>
    <w:rsid w:val="00712FA3"/>
    <w:rsid w:val="00715F70"/>
    <w:rsid w:val="00716FA1"/>
    <w:rsid w:val="007241B4"/>
    <w:rsid w:val="007255F2"/>
    <w:rsid w:val="007263CB"/>
    <w:rsid w:val="00731779"/>
    <w:rsid w:val="007332FC"/>
    <w:rsid w:val="00735946"/>
    <w:rsid w:val="00735F4D"/>
    <w:rsid w:val="0073632B"/>
    <w:rsid w:val="00740BF2"/>
    <w:rsid w:val="00741942"/>
    <w:rsid w:val="007476FB"/>
    <w:rsid w:val="00753CE3"/>
    <w:rsid w:val="00754715"/>
    <w:rsid w:val="00757062"/>
    <w:rsid w:val="007712DF"/>
    <w:rsid w:val="0077612C"/>
    <w:rsid w:val="00780B9C"/>
    <w:rsid w:val="007812A5"/>
    <w:rsid w:val="00784F1E"/>
    <w:rsid w:val="00787497"/>
    <w:rsid w:val="007933B5"/>
    <w:rsid w:val="00796D62"/>
    <w:rsid w:val="007A51E9"/>
    <w:rsid w:val="007A7B2D"/>
    <w:rsid w:val="007B0B85"/>
    <w:rsid w:val="007B1CCA"/>
    <w:rsid w:val="007B28EB"/>
    <w:rsid w:val="007C0E8A"/>
    <w:rsid w:val="007C2BE4"/>
    <w:rsid w:val="007C6D4D"/>
    <w:rsid w:val="007D02B9"/>
    <w:rsid w:val="007D4F53"/>
    <w:rsid w:val="007D7D63"/>
    <w:rsid w:val="007E1502"/>
    <w:rsid w:val="007E32C0"/>
    <w:rsid w:val="007E3935"/>
    <w:rsid w:val="007E3C5E"/>
    <w:rsid w:val="007E69FE"/>
    <w:rsid w:val="007F1F1B"/>
    <w:rsid w:val="007F55F4"/>
    <w:rsid w:val="00805917"/>
    <w:rsid w:val="00805AC7"/>
    <w:rsid w:val="00806569"/>
    <w:rsid w:val="0080760C"/>
    <w:rsid w:val="00810174"/>
    <w:rsid w:val="00810305"/>
    <w:rsid w:val="008149D7"/>
    <w:rsid w:val="00821C65"/>
    <w:rsid w:val="0082353A"/>
    <w:rsid w:val="00823D17"/>
    <w:rsid w:val="00825D0B"/>
    <w:rsid w:val="00835F80"/>
    <w:rsid w:val="00836011"/>
    <w:rsid w:val="0084129C"/>
    <w:rsid w:val="00844E0B"/>
    <w:rsid w:val="00850C2E"/>
    <w:rsid w:val="008527C6"/>
    <w:rsid w:val="00855AC6"/>
    <w:rsid w:val="008603DB"/>
    <w:rsid w:val="008631B1"/>
    <w:rsid w:val="00867D2F"/>
    <w:rsid w:val="0087049C"/>
    <w:rsid w:val="008705F5"/>
    <w:rsid w:val="00881A4B"/>
    <w:rsid w:val="00883568"/>
    <w:rsid w:val="00885529"/>
    <w:rsid w:val="008861F3"/>
    <w:rsid w:val="00887E3D"/>
    <w:rsid w:val="008916D2"/>
    <w:rsid w:val="008916DE"/>
    <w:rsid w:val="00896B2D"/>
    <w:rsid w:val="008A0670"/>
    <w:rsid w:val="008A42AD"/>
    <w:rsid w:val="008A4B73"/>
    <w:rsid w:val="008A5401"/>
    <w:rsid w:val="008B1D6A"/>
    <w:rsid w:val="008C1DC1"/>
    <w:rsid w:val="008C3D92"/>
    <w:rsid w:val="008C42C3"/>
    <w:rsid w:val="008C4551"/>
    <w:rsid w:val="008C503B"/>
    <w:rsid w:val="008C6D2E"/>
    <w:rsid w:val="008D1BA5"/>
    <w:rsid w:val="008D31B1"/>
    <w:rsid w:val="008D38FA"/>
    <w:rsid w:val="008D4560"/>
    <w:rsid w:val="008D4E21"/>
    <w:rsid w:val="008D5D78"/>
    <w:rsid w:val="008D6570"/>
    <w:rsid w:val="008D6754"/>
    <w:rsid w:val="008D7257"/>
    <w:rsid w:val="008E20EC"/>
    <w:rsid w:val="008F06F9"/>
    <w:rsid w:val="008F1EB4"/>
    <w:rsid w:val="008F2FEE"/>
    <w:rsid w:val="008F42FB"/>
    <w:rsid w:val="008F59E1"/>
    <w:rsid w:val="008F60AC"/>
    <w:rsid w:val="009022A0"/>
    <w:rsid w:val="00905AA3"/>
    <w:rsid w:val="00907653"/>
    <w:rsid w:val="00912ED1"/>
    <w:rsid w:val="0091328C"/>
    <w:rsid w:val="00917A71"/>
    <w:rsid w:val="00917F2A"/>
    <w:rsid w:val="00926652"/>
    <w:rsid w:val="00927FEA"/>
    <w:rsid w:val="00934170"/>
    <w:rsid w:val="0093434A"/>
    <w:rsid w:val="0093556F"/>
    <w:rsid w:val="00935AC9"/>
    <w:rsid w:val="00943775"/>
    <w:rsid w:val="00946B49"/>
    <w:rsid w:val="0096089D"/>
    <w:rsid w:val="00962664"/>
    <w:rsid w:val="00962EB4"/>
    <w:rsid w:val="00962FCF"/>
    <w:rsid w:val="00963433"/>
    <w:rsid w:val="00966A72"/>
    <w:rsid w:val="00970B4E"/>
    <w:rsid w:val="00982205"/>
    <w:rsid w:val="0098266E"/>
    <w:rsid w:val="00984888"/>
    <w:rsid w:val="0099324D"/>
    <w:rsid w:val="009939E0"/>
    <w:rsid w:val="009963D9"/>
    <w:rsid w:val="00996464"/>
    <w:rsid w:val="009A0C37"/>
    <w:rsid w:val="009A1C68"/>
    <w:rsid w:val="009A546B"/>
    <w:rsid w:val="009B0F60"/>
    <w:rsid w:val="009B224F"/>
    <w:rsid w:val="009B4693"/>
    <w:rsid w:val="009B5DFE"/>
    <w:rsid w:val="009B71A1"/>
    <w:rsid w:val="009B7265"/>
    <w:rsid w:val="009D048D"/>
    <w:rsid w:val="009D213C"/>
    <w:rsid w:val="009D33E4"/>
    <w:rsid w:val="009D55C4"/>
    <w:rsid w:val="009D7602"/>
    <w:rsid w:val="009E1DCA"/>
    <w:rsid w:val="009E56C4"/>
    <w:rsid w:val="009E573A"/>
    <w:rsid w:val="009E5FDA"/>
    <w:rsid w:val="009E74AE"/>
    <w:rsid w:val="009F217E"/>
    <w:rsid w:val="009F758E"/>
    <w:rsid w:val="00A00FF7"/>
    <w:rsid w:val="00A07657"/>
    <w:rsid w:val="00A12842"/>
    <w:rsid w:val="00A13E29"/>
    <w:rsid w:val="00A163DD"/>
    <w:rsid w:val="00A17DB8"/>
    <w:rsid w:val="00A210D8"/>
    <w:rsid w:val="00A21383"/>
    <w:rsid w:val="00A250D1"/>
    <w:rsid w:val="00A26C4E"/>
    <w:rsid w:val="00A3558A"/>
    <w:rsid w:val="00A40975"/>
    <w:rsid w:val="00A42129"/>
    <w:rsid w:val="00A43032"/>
    <w:rsid w:val="00A51865"/>
    <w:rsid w:val="00A57D75"/>
    <w:rsid w:val="00A61148"/>
    <w:rsid w:val="00A63CF4"/>
    <w:rsid w:val="00A66E36"/>
    <w:rsid w:val="00A66F65"/>
    <w:rsid w:val="00A728D7"/>
    <w:rsid w:val="00A74B52"/>
    <w:rsid w:val="00A77957"/>
    <w:rsid w:val="00A77FD0"/>
    <w:rsid w:val="00A81EB8"/>
    <w:rsid w:val="00A839C3"/>
    <w:rsid w:val="00A87B5F"/>
    <w:rsid w:val="00A96D3F"/>
    <w:rsid w:val="00AA16CF"/>
    <w:rsid w:val="00AA525D"/>
    <w:rsid w:val="00AA7D3F"/>
    <w:rsid w:val="00AB004A"/>
    <w:rsid w:val="00AB09D5"/>
    <w:rsid w:val="00AB2B85"/>
    <w:rsid w:val="00AB71B6"/>
    <w:rsid w:val="00AC299C"/>
    <w:rsid w:val="00AC454E"/>
    <w:rsid w:val="00AC4625"/>
    <w:rsid w:val="00AD5666"/>
    <w:rsid w:val="00AE238C"/>
    <w:rsid w:val="00AE3625"/>
    <w:rsid w:val="00AE3727"/>
    <w:rsid w:val="00AF0780"/>
    <w:rsid w:val="00AF1EA0"/>
    <w:rsid w:val="00AF5563"/>
    <w:rsid w:val="00AF5F60"/>
    <w:rsid w:val="00B004E8"/>
    <w:rsid w:val="00B0239F"/>
    <w:rsid w:val="00B0312B"/>
    <w:rsid w:val="00B03494"/>
    <w:rsid w:val="00B03D9C"/>
    <w:rsid w:val="00B06A45"/>
    <w:rsid w:val="00B16F13"/>
    <w:rsid w:val="00B213B0"/>
    <w:rsid w:val="00B21FD9"/>
    <w:rsid w:val="00B309D1"/>
    <w:rsid w:val="00B348B3"/>
    <w:rsid w:val="00B4364E"/>
    <w:rsid w:val="00B4500A"/>
    <w:rsid w:val="00B61080"/>
    <w:rsid w:val="00B62912"/>
    <w:rsid w:val="00B6566A"/>
    <w:rsid w:val="00B658BE"/>
    <w:rsid w:val="00B678D8"/>
    <w:rsid w:val="00B702BE"/>
    <w:rsid w:val="00B7308E"/>
    <w:rsid w:val="00B746B2"/>
    <w:rsid w:val="00B753CF"/>
    <w:rsid w:val="00B764DF"/>
    <w:rsid w:val="00B80BEA"/>
    <w:rsid w:val="00B832F0"/>
    <w:rsid w:val="00B864AC"/>
    <w:rsid w:val="00B879DD"/>
    <w:rsid w:val="00B90ADC"/>
    <w:rsid w:val="00B92282"/>
    <w:rsid w:val="00B94945"/>
    <w:rsid w:val="00B96843"/>
    <w:rsid w:val="00B96937"/>
    <w:rsid w:val="00B97395"/>
    <w:rsid w:val="00BA2A4F"/>
    <w:rsid w:val="00BA5F09"/>
    <w:rsid w:val="00BB01D3"/>
    <w:rsid w:val="00BB1AAA"/>
    <w:rsid w:val="00BB3064"/>
    <w:rsid w:val="00BB3B12"/>
    <w:rsid w:val="00BB4109"/>
    <w:rsid w:val="00BB6344"/>
    <w:rsid w:val="00BB6CE8"/>
    <w:rsid w:val="00BC0A39"/>
    <w:rsid w:val="00BC69AA"/>
    <w:rsid w:val="00BC74A6"/>
    <w:rsid w:val="00BD0EB9"/>
    <w:rsid w:val="00BD67E4"/>
    <w:rsid w:val="00BD7F2B"/>
    <w:rsid w:val="00BE0CFD"/>
    <w:rsid w:val="00BE1DCC"/>
    <w:rsid w:val="00BE2788"/>
    <w:rsid w:val="00BE3D0A"/>
    <w:rsid w:val="00BE4A14"/>
    <w:rsid w:val="00BF1E24"/>
    <w:rsid w:val="00BF3F03"/>
    <w:rsid w:val="00BF4589"/>
    <w:rsid w:val="00BF6F01"/>
    <w:rsid w:val="00BF6F3D"/>
    <w:rsid w:val="00C01943"/>
    <w:rsid w:val="00C037DD"/>
    <w:rsid w:val="00C0561E"/>
    <w:rsid w:val="00C06C1B"/>
    <w:rsid w:val="00C06F2F"/>
    <w:rsid w:val="00C145AC"/>
    <w:rsid w:val="00C1575C"/>
    <w:rsid w:val="00C2263B"/>
    <w:rsid w:val="00C25F63"/>
    <w:rsid w:val="00C311AD"/>
    <w:rsid w:val="00C3232A"/>
    <w:rsid w:val="00C35B89"/>
    <w:rsid w:val="00C3638D"/>
    <w:rsid w:val="00C4209A"/>
    <w:rsid w:val="00C42830"/>
    <w:rsid w:val="00C44B35"/>
    <w:rsid w:val="00C44E7B"/>
    <w:rsid w:val="00C46546"/>
    <w:rsid w:val="00C468BD"/>
    <w:rsid w:val="00C46C60"/>
    <w:rsid w:val="00C4727D"/>
    <w:rsid w:val="00C645C4"/>
    <w:rsid w:val="00C645DA"/>
    <w:rsid w:val="00C65AA0"/>
    <w:rsid w:val="00C66A22"/>
    <w:rsid w:val="00C733AB"/>
    <w:rsid w:val="00C735E2"/>
    <w:rsid w:val="00C743CA"/>
    <w:rsid w:val="00C77069"/>
    <w:rsid w:val="00C77B6A"/>
    <w:rsid w:val="00C802C5"/>
    <w:rsid w:val="00C81DBD"/>
    <w:rsid w:val="00C81FA7"/>
    <w:rsid w:val="00C83BC3"/>
    <w:rsid w:val="00C86420"/>
    <w:rsid w:val="00C87F89"/>
    <w:rsid w:val="00C900C5"/>
    <w:rsid w:val="00C916C2"/>
    <w:rsid w:val="00C955AB"/>
    <w:rsid w:val="00C95E87"/>
    <w:rsid w:val="00CA01FE"/>
    <w:rsid w:val="00CA0A39"/>
    <w:rsid w:val="00CA62E2"/>
    <w:rsid w:val="00CA7004"/>
    <w:rsid w:val="00CB1634"/>
    <w:rsid w:val="00CB17A3"/>
    <w:rsid w:val="00CB17A6"/>
    <w:rsid w:val="00CB5880"/>
    <w:rsid w:val="00CB5960"/>
    <w:rsid w:val="00CC135E"/>
    <w:rsid w:val="00CC1541"/>
    <w:rsid w:val="00CC4C65"/>
    <w:rsid w:val="00CD3974"/>
    <w:rsid w:val="00CD3E8B"/>
    <w:rsid w:val="00CD42B2"/>
    <w:rsid w:val="00CE0E13"/>
    <w:rsid w:val="00CE3C89"/>
    <w:rsid w:val="00CE4289"/>
    <w:rsid w:val="00CE68A6"/>
    <w:rsid w:val="00CE6AC7"/>
    <w:rsid w:val="00CE7DC3"/>
    <w:rsid w:val="00CF0D36"/>
    <w:rsid w:val="00D02A77"/>
    <w:rsid w:val="00D03FB5"/>
    <w:rsid w:val="00D135AD"/>
    <w:rsid w:val="00D138E0"/>
    <w:rsid w:val="00D17EBB"/>
    <w:rsid w:val="00D23F3D"/>
    <w:rsid w:val="00D25562"/>
    <w:rsid w:val="00D3427D"/>
    <w:rsid w:val="00D348B3"/>
    <w:rsid w:val="00D43EA2"/>
    <w:rsid w:val="00D46CA2"/>
    <w:rsid w:val="00D50EC2"/>
    <w:rsid w:val="00D5327E"/>
    <w:rsid w:val="00D642F6"/>
    <w:rsid w:val="00D66852"/>
    <w:rsid w:val="00D753DB"/>
    <w:rsid w:val="00D77C0F"/>
    <w:rsid w:val="00D85DDA"/>
    <w:rsid w:val="00D8676B"/>
    <w:rsid w:val="00D933EB"/>
    <w:rsid w:val="00D94778"/>
    <w:rsid w:val="00D951BF"/>
    <w:rsid w:val="00D9762E"/>
    <w:rsid w:val="00DA3660"/>
    <w:rsid w:val="00DA3696"/>
    <w:rsid w:val="00DA7CED"/>
    <w:rsid w:val="00DB0C0D"/>
    <w:rsid w:val="00DB203B"/>
    <w:rsid w:val="00DB22F3"/>
    <w:rsid w:val="00DB3B2E"/>
    <w:rsid w:val="00DB4A77"/>
    <w:rsid w:val="00DB5438"/>
    <w:rsid w:val="00DC37BF"/>
    <w:rsid w:val="00DC384A"/>
    <w:rsid w:val="00DC5631"/>
    <w:rsid w:val="00DC6538"/>
    <w:rsid w:val="00DD4CF8"/>
    <w:rsid w:val="00DE0F81"/>
    <w:rsid w:val="00DE2C08"/>
    <w:rsid w:val="00DE2E10"/>
    <w:rsid w:val="00DE3E68"/>
    <w:rsid w:val="00DE6779"/>
    <w:rsid w:val="00DE6D7C"/>
    <w:rsid w:val="00DE73E1"/>
    <w:rsid w:val="00DE77F5"/>
    <w:rsid w:val="00DF1353"/>
    <w:rsid w:val="00DF51A1"/>
    <w:rsid w:val="00E01090"/>
    <w:rsid w:val="00E02AA6"/>
    <w:rsid w:val="00E112C8"/>
    <w:rsid w:val="00E14B95"/>
    <w:rsid w:val="00E15B8F"/>
    <w:rsid w:val="00E175EA"/>
    <w:rsid w:val="00E2030B"/>
    <w:rsid w:val="00E20BF5"/>
    <w:rsid w:val="00E211E7"/>
    <w:rsid w:val="00E24B5E"/>
    <w:rsid w:val="00E24D36"/>
    <w:rsid w:val="00E26532"/>
    <w:rsid w:val="00E33BF5"/>
    <w:rsid w:val="00E42085"/>
    <w:rsid w:val="00E43422"/>
    <w:rsid w:val="00E4358B"/>
    <w:rsid w:val="00E44419"/>
    <w:rsid w:val="00E51AF3"/>
    <w:rsid w:val="00E52EBF"/>
    <w:rsid w:val="00E539BD"/>
    <w:rsid w:val="00E53DC7"/>
    <w:rsid w:val="00E550A3"/>
    <w:rsid w:val="00E55AF8"/>
    <w:rsid w:val="00E56A89"/>
    <w:rsid w:val="00E56DC7"/>
    <w:rsid w:val="00E56EEB"/>
    <w:rsid w:val="00E60243"/>
    <w:rsid w:val="00E67A47"/>
    <w:rsid w:val="00E71D6E"/>
    <w:rsid w:val="00E72AE1"/>
    <w:rsid w:val="00E73B06"/>
    <w:rsid w:val="00E77728"/>
    <w:rsid w:val="00E81190"/>
    <w:rsid w:val="00E812C6"/>
    <w:rsid w:val="00E8234C"/>
    <w:rsid w:val="00E84B5F"/>
    <w:rsid w:val="00E92852"/>
    <w:rsid w:val="00E935CE"/>
    <w:rsid w:val="00E948C4"/>
    <w:rsid w:val="00EB0EF7"/>
    <w:rsid w:val="00EB4016"/>
    <w:rsid w:val="00EB646E"/>
    <w:rsid w:val="00EB6F26"/>
    <w:rsid w:val="00EB7CED"/>
    <w:rsid w:val="00EC4475"/>
    <w:rsid w:val="00ED03D5"/>
    <w:rsid w:val="00ED3937"/>
    <w:rsid w:val="00ED3C41"/>
    <w:rsid w:val="00EE61BE"/>
    <w:rsid w:val="00EE6E33"/>
    <w:rsid w:val="00EF0F3D"/>
    <w:rsid w:val="00EF43CC"/>
    <w:rsid w:val="00EF4428"/>
    <w:rsid w:val="00F06AE2"/>
    <w:rsid w:val="00F131A9"/>
    <w:rsid w:val="00F13F6C"/>
    <w:rsid w:val="00F15227"/>
    <w:rsid w:val="00F21520"/>
    <w:rsid w:val="00F22877"/>
    <w:rsid w:val="00F2374E"/>
    <w:rsid w:val="00F30A03"/>
    <w:rsid w:val="00F310E7"/>
    <w:rsid w:val="00F33631"/>
    <w:rsid w:val="00F3417E"/>
    <w:rsid w:val="00F42157"/>
    <w:rsid w:val="00F423F6"/>
    <w:rsid w:val="00F4371F"/>
    <w:rsid w:val="00F52F54"/>
    <w:rsid w:val="00F74634"/>
    <w:rsid w:val="00F76431"/>
    <w:rsid w:val="00F81EED"/>
    <w:rsid w:val="00F8240F"/>
    <w:rsid w:val="00F82E66"/>
    <w:rsid w:val="00F83409"/>
    <w:rsid w:val="00F86B59"/>
    <w:rsid w:val="00F87F39"/>
    <w:rsid w:val="00F90577"/>
    <w:rsid w:val="00FA0087"/>
    <w:rsid w:val="00FA4005"/>
    <w:rsid w:val="00FA76BA"/>
    <w:rsid w:val="00FC0237"/>
    <w:rsid w:val="00FC24C3"/>
    <w:rsid w:val="00FC25B8"/>
    <w:rsid w:val="00FC7E3F"/>
    <w:rsid w:val="00FD11EC"/>
    <w:rsid w:val="00FD7507"/>
    <w:rsid w:val="00FD7C39"/>
    <w:rsid w:val="00FE09FF"/>
    <w:rsid w:val="00FE58FD"/>
    <w:rsid w:val="00FF178D"/>
    <w:rsid w:val="00FF1C4F"/>
    <w:rsid w:val="00FF20BB"/>
    <w:rsid w:val="00FF30A1"/>
    <w:rsid w:val="00FF5728"/>
    <w:rsid w:val="00FF6BD4"/>
    <w:rsid w:val="0A334C49"/>
    <w:rsid w:val="0FF021D8"/>
    <w:rsid w:val="108B7F9E"/>
    <w:rsid w:val="16BFB275"/>
    <w:rsid w:val="1AA57E27"/>
    <w:rsid w:val="1B6F8ADB"/>
    <w:rsid w:val="245B4A4B"/>
    <w:rsid w:val="289D74A0"/>
    <w:rsid w:val="2F05F236"/>
    <w:rsid w:val="2F100E8C"/>
    <w:rsid w:val="32FA7617"/>
    <w:rsid w:val="333A98F6"/>
    <w:rsid w:val="395BD481"/>
    <w:rsid w:val="3C5656F1"/>
    <w:rsid w:val="3F045381"/>
    <w:rsid w:val="45363347"/>
    <w:rsid w:val="46670C70"/>
    <w:rsid w:val="48432B3C"/>
    <w:rsid w:val="4FF79EE9"/>
    <w:rsid w:val="55AFF560"/>
    <w:rsid w:val="5BC26988"/>
    <w:rsid w:val="676E01E6"/>
    <w:rsid w:val="6E70FBAD"/>
    <w:rsid w:val="6EAAB41B"/>
    <w:rsid w:val="6EE87111"/>
    <w:rsid w:val="7AD6FE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B6A83A"/>
  <w15:chartTrackingRefBased/>
  <w15:docId w15:val="{44B3B358-C8BD-4BAB-A145-BB3652D89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1911"/>
  </w:style>
  <w:style w:type="paragraph" w:styleId="Heading1">
    <w:name w:val="heading 1"/>
    <w:basedOn w:val="Normal"/>
    <w:next w:val="Normal"/>
    <w:link w:val="Heading1Char"/>
    <w:uiPriority w:val="9"/>
    <w:qFormat/>
    <w:rsid w:val="006117F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117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117F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6117F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117F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117F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117F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117F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117F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17F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117F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117F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6117F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117F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117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117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117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17F7"/>
    <w:rPr>
      <w:rFonts w:eastAsiaTheme="majorEastAsia" w:cstheme="majorBidi"/>
      <w:color w:val="272727" w:themeColor="text1" w:themeTint="D8"/>
    </w:rPr>
  </w:style>
  <w:style w:type="paragraph" w:styleId="Title">
    <w:name w:val="Title"/>
    <w:basedOn w:val="Normal"/>
    <w:next w:val="Normal"/>
    <w:link w:val="TitleChar"/>
    <w:uiPriority w:val="10"/>
    <w:qFormat/>
    <w:rsid w:val="006117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17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17F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117F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17F7"/>
    <w:pPr>
      <w:spacing w:before="160"/>
      <w:jc w:val="center"/>
    </w:pPr>
    <w:rPr>
      <w:i/>
      <w:iCs/>
      <w:color w:val="404040" w:themeColor="text1" w:themeTint="BF"/>
    </w:rPr>
  </w:style>
  <w:style w:type="character" w:customStyle="1" w:styleId="QuoteChar">
    <w:name w:val="Quote Char"/>
    <w:basedOn w:val="DefaultParagraphFont"/>
    <w:link w:val="Quote"/>
    <w:uiPriority w:val="29"/>
    <w:rsid w:val="006117F7"/>
    <w:rPr>
      <w:i/>
      <w:iCs/>
      <w:color w:val="404040" w:themeColor="text1" w:themeTint="BF"/>
    </w:rPr>
  </w:style>
  <w:style w:type="paragraph" w:styleId="ListParagraph">
    <w:name w:val="List Paragraph"/>
    <w:basedOn w:val="Normal"/>
    <w:uiPriority w:val="34"/>
    <w:qFormat/>
    <w:rsid w:val="006117F7"/>
    <w:pPr>
      <w:ind w:left="720"/>
      <w:contextualSpacing/>
    </w:pPr>
  </w:style>
  <w:style w:type="character" w:styleId="IntenseEmphasis">
    <w:name w:val="Intense Emphasis"/>
    <w:basedOn w:val="DefaultParagraphFont"/>
    <w:uiPriority w:val="21"/>
    <w:qFormat/>
    <w:rsid w:val="006117F7"/>
    <w:rPr>
      <w:i/>
      <w:iCs/>
      <w:color w:val="0F4761" w:themeColor="accent1" w:themeShade="BF"/>
    </w:rPr>
  </w:style>
  <w:style w:type="paragraph" w:styleId="IntenseQuote">
    <w:name w:val="Intense Quote"/>
    <w:basedOn w:val="Normal"/>
    <w:next w:val="Normal"/>
    <w:link w:val="IntenseQuoteChar"/>
    <w:uiPriority w:val="30"/>
    <w:qFormat/>
    <w:rsid w:val="006117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117F7"/>
    <w:rPr>
      <w:i/>
      <w:iCs/>
      <w:color w:val="0F4761" w:themeColor="accent1" w:themeShade="BF"/>
    </w:rPr>
  </w:style>
  <w:style w:type="character" w:styleId="IntenseReference">
    <w:name w:val="Intense Reference"/>
    <w:basedOn w:val="DefaultParagraphFont"/>
    <w:uiPriority w:val="32"/>
    <w:qFormat/>
    <w:rsid w:val="006117F7"/>
    <w:rPr>
      <w:b/>
      <w:bCs/>
      <w:smallCaps/>
      <w:color w:val="0F4761" w:themeColor="accent1" w:themeShade="BF"/>
      <w:spacing w:val="5"/>
    </w:rPr>
  </w:style>
  <w:style w:type="paragraph" w:styleId="TOCHeading">
    <w:name w:val="TOC Heading"/>
    <w:basedOn w:val="Heading1"/>
    <w:next w:val="Normal"/>
    <w:uiPriority w:val="39"/>
    <w:unhideWhenUsed/>
    <w:qFormat/>
    <w:rsid w:val="006117F7"/>
    <w:pPr>
      <w:spacing w:before="240" w:after="0" w:line="259" w:lineRule="auto"/>
      <w:outlineLvl w:val="9"/>
    </w:pPr>
    <w:rPr>
      <w:kern w:val="0"/>
      <w:sz w:val="32"/>
      <w:szCs w:val="32"/>
      <w:lang w:val="en-US"/>
      <w14:ligatures w14:val="none"/>
    </w:rPr>
  </w:style>
  <w:style w:type="character" w:styleId="CommentReference">
    <w:name w:val="annotation reference"/>
    <w:basedOn w:val="DefaultParagraphFont"/>
    <w:uiPriority w:val="99"/>
    <w:semiHidden/>
    <w:unhideWhenUsed/>
    <w:rsid w:val="006D3894"/>
    <w:rPr>
      <w:sz w:val="16"/>
      <w:szCs w:val="16"/>
    </w:rPr>
  </w:style>
  <w:style w:type="paragraph" w:styleId="CommentText">
    <w:name w:val="annotation text"/>
    <w:basedOn w:val="Normal"/>
    <w:link w:val="CommentTextChar"/>
    <w:uiPriority w:val="99"/>
    <w:unhideWhenUsed/>
    <w:rsid w:val="006D3894"/>
    <w:pPr>
      <w:spacing w:line="240" w:lineRule="auto"/>
    </w:pPr>
    <w:rPr>
      <w:sz w:val="20"/>
      <w:szCs w:val="20"/>
    </w:rPr>
  </w:style>
  <w:style w:type="character" w:customStyle="1" w:styleId="CommentTextChar">
    <w:name w:val="Comment Text Char"/>
    <w:basedOn w:val="DefaultParagraphFont"/>
    <w:link w:val="CommentText"/>
    <w:uiPriority w:val="99"/>
    <w:rsid w:val="006D3894"/>
    <w:rPr>
      <w:sz w:val="20"/>
      <w:szCs w:val="20"/>
    </w:rPr>
  </w:style>
  <w:style w:type="paragraph" w:styleId="CommentSubject">
    <w:name w:val="annotation subject"/>
    <w:basedOn w:val="CommentText"/>
    <w:next w:val="CommentText"/>
    <w:link w:val="CommentSubjectChar"/>
    <w:uiPriority w:val="99"/>
    <w:semiHidden/>
    <w:unhideWhenUsed/>
    <w:rsid w:val="006D3894"/>
    <w:rPr>
      <w:b/>
      <w:bCs/>
    </w:rPr>
  </w:style>
  <w:style w:type="character" w:customStyle="1" w:styleId="CommentSubjectChar">
    <w:name w:val="Comment Subject Char"/>
    <w:basedOn w:val="CommentTextChar"/>
    <w:link w:val="CommentSubject"/>
    <w:uiPriority w:val="99"/>
    <w:semiHidden/>
    <w:rsid w:val="006D3894"/>
    <w:rPr>
      <w:b/>
      <w:bCs/>
      <w:sz w:val="20"/>
      <w:szCs w:val="20"/>
    </w:rPr>
  </w:style>
  <w:style w:type="character" w:styleId="Hyperlink">
    <w:name w:val="Hyperlink"/>
    <w:basedOn w:val="DefaultParagraphFont"/>
    <w:uiPriority w:val="99"/>
    <w:unhideWhenUsed/>
    <w:rsid w:val="00036217"/>
    <w:rPr>
      <w:color w:val="467886" w:themeColor="hyperlink"/>
      <w:u w:val="single"/>
    </w:rPr>
  </w:style>
  <w:style w:type="character" w:styleId="UnresolvedMention">
    <w:name w:val="Unresolved Mention"/>
    <w:basedOn w:val="DefaultParagraphFont"/>
    <w:uiPriority w:val="99"/>
    <w:semiHidden/>
    <w:unhideWhenUsed/>
    <w:rsid w:val="00036217"/>
    <w:rPr>
      <w:color w:val="605E5C"/>
      <w:shd w:val="clear" w:color="auto" w:fill="E1DFDD"/>
    </w:rPr>
  </w:style>
  <w:style w:type="paragraph" w:styleId="TOC1">
    <w:name w:val="toc 1"/>
    <w:basedOn w:val="Normal"/>
    <w:next w:val="Normal"/>
    <w:autoRedefine/>
    <w:uiPriority w:val="39"/>
    <w:unhideWhenUsed/>
    <w:rsid w:val="00036217"/>
    <w:pPr>
      <w:spacing w:after="100"/>
    </w:pPr>
  </w:style>
  <w:style w:type="paragraph" w:styleId="Header">
    <w:name w:val="header"/>
    <w:basedOn w:val="Normal"/>
    <w:link w:val="HeaderChar"/>
    <w:unhideWhenUsed/>
    <w:rsid w:val="00036217"/>
    <w:pPr>
      <w:tabs>
        <w:tab w:val="center" w:pos="4513"/>
        <w:tab w:val="right" w:pos="9026"/>
      </w:tabs>
      <w:spacing w:after="0" w:line="240" w:lineRule="auto"/>
    </w:pPr>
  </w:style>
  <w:style w:type="character" w:customStyle="1" w:styleId="HeaderChar">
    <w:name w:val="Header Char"/>
    <w:basedOn w:val="DefaultParagraphFont"/>
    <w:link w:val="Header"/>
    <w:rsid w:val="00036217"/>
  </w:style>
  <w:style w:type="paragraph" w:styleId="Footer">
    <w:name w:val="footer"/>
    <w:basedOn w:val="Normal"/>
    <w:link w:val="FooterChar"/>
    <w:uiPriority w:val="99"/>
    <w:unhideWhenUsed/>
    <w:rsid w:val="000362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6217"/>
  </w:style>
  <w:style w:type="table" w:styleId="TableGrid">
    <w:name w:val="Table Grid"/>
    <w:basedOn w:val="TableNormal"/>
    <w:uiPriority w:val="39"/>
    <w:rsid w:val="00B730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1575C"/>
    <w:pPr>
      <w:spacing w:after="0" w:line="240" w:lineRule="auto"/>
    </w:pPr>
  </w:style>
  <w:style w:type="paragraph" w:styleId="NoSpacing">
    <w:name w:val="No Spacing"/>
    <w:link w:val="NoSpacingChar"/>
    <w:uiPriority w:val="1"/>
    <w:qFormat/>
    <w:rsid w:val="00FA0087"/>
    <w:pPr>
      <w:spacing w:after="0" w:line="240" w:lineRule="auto"/>
    </w:pPr>
    <w:rPr>
      <w:kern w:val="0"/>
      <w:sz w:val="22"/>
      <w:szCs w:val="22"/>
      <w14:ligatures w14:val="none"/>
    </w:rPr>
  </w:style>
  <w:style w:type="character" w:customStyle="1" w:styleId="NoSpacingChar">
    <w:name w:val="No Spacing Char"/>
    <w:basedOn w:val="DefaultParagraphFont"/>
    <w:link w:val="NoSpacing"/>
    <w:uiPriority w:val="1"/>
    <w:rsid w:val="00FA0087"/>
    <w:rPr>
      <w:kern w:val="0"/>
      <w:sz w:val="22"/>
      <w:szCs w:val="22"/>
      <w14:ligatures w14:val="none"/>
    </w:rPr>
  </w:style>
  <w:style w:type="paragraph" w:customStyle="1" w:styleId="Default">
    <w:name w:val="Default"/>
    <w:rsid w:val="00FA0087"/>
    <w:pPr>
      <w:autoSpaceDE w:val="0"/>
      <w:autoSpaceDN w:val="0"/>
      <w:adjustRightInd w:val="0"/>
      <w:spacing w:after="0" w:line="240" w:lineRule="auto"/>
    </w:pPr>
    <w:rPr>
      <w:rFonts w:ascii="Arial" w:hAnsi="Arial" w:cs="Arial"/>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127352">
      <w:bodyDiv w:val="1"/>
      <w:marLeft w:val="0"/>
      <w:marRight w:val="0"/>
      <w:marTop w:val="0"/>
      <w:marBottom w:val="0"/>
      <w:divBdr>
        <w:top w:val="none" w:sz="0" w:space="0" w:color="auto"/>
        <w:left w:val="none" w:sz="0" w:space="0" w:color="auto"/>
        <w:bottom w:val="none" w:sz="0" w:space="0" w:color="auto"/>
        <w:right w:val="none" w:sz="0" w:space="0" w:color="auto"/>
      </w:divBdr>
    </w:div>
    <w:div w:id="87511188">
      <w:bodyDiv w:val="1"/>
      <w:marLeft w:val="0"/>
      <w:marRight w:val="0"/>
      <w:marTop w:val="0"/>
      <w:marBottom w:val="0"/>
      <w:divBdr>
        <w:top w:val="none" w:sz="0" w:space="0" w:color="auto"/>
        <w:left w:val="none" w:sz="0" w:space="0" w:color="auto"/>
        <w:bottom w:val="none" w:sz="0" w:space="0" w:color="auto"/>
        <w:right w:val="none" w:sz="0" w:space="0" w:color="auto"/>
      </w:divBdr>
    </w:div>
    <w:div w:id="217129299">
      <w:bodyDiv w:val="1"/>
      <w:marLeft w:val="0"/>
      <w:marRight w:val="0"/>
      <w:marTop w:val="0"/>
      <w:marBottom w:val="0"/>
      <w:divBdr>
        <w:top w:val="none" w:sz="0" w:space="0" w:color="auto"/>
        <w:left w:val="none" w:sz="0" w:space="0" w:color="auto"/>
        <w:bottom w:val="none" w:sz="0" w:space="0" w:color="auto"/>
        <w:right w:val="none" w:sz="0" w:space="0" w:color="auto"/>
      </w:divBdr>
    </w:div>
    <w:div w:id="279922247">
      <w:bodyDiv w:val="1"/>
      <w:marLeft w:val="0"/>
      <w:marRight w:val="0"/>
      <w:marTop w:val="0"/>
      <w:marBottom w:val="0"/>
      <w:divBdr>
        <w:top w:val="none" w:sz="0" w:space="0" w:color="auto"/>
        <w:left w:val="none" w:sz="0" w:space="0" w:color="auto"/>
        <w:bottom w:val="none" w:sz="0" w:space="0" w:color="auto"/>
        <w:right w:val="none" w:sz="0" w:space="0" w:color="auto"/>
      </w:divBdr>
    </w:div>
    <w:div w:id="286130895">
      <w:bodyDiv w:val="1"/>
      <w:marLeft w:val="0"/>
      <w:marRight w:val="0"/>
      <w:marTop w:val="0"/>
      <w:marBottom w:val="0"/>
      <w:divBdr>
        <w:top w:val="none" w:sz="0" w:space="0" w:color="auto"/>
        <w:left w:val="none" w:sz="0" w:space="0" w:color="auto"/>
        <w:bottom w:val="none" w:sz="0" w:space="0" w:color="auto"/>
        <w:right w:val="none" w:sz="0" w:space="0" w:color="auto"/>
      </w:divBdr>
    </w:div>
    <w:div w:id="317733335">
      <w:bodyDiv w:val="1"/>
      <w:marLeft w:val="0"/>
      <w:marRight w:val="0"/>
      <w:marTop w:val="0"/>
      <w:marBottom w:val="0"/>
      <w:divBdr>
        <w:top w:val="none" w:sz="0" w:space="0" w:color="auto"/>
        <w:left w:val="none" w:sz="0" w:space="0" w:color="auto"/>
        <w:bottom w:val="none" w:sz="0" w:space="0" w:color="auto"/>
        <w:right w:val="none" w:sz="0" w:space="0" w:color="auto"/>
      </w:divBdr>
      <w:divsChild>
        <w:div w:id="506404296">
          <w:marLeft w:val="360"/>
          <w:marRight w:val="0"/>
          <w:marTop w:val="200"/>
          <w:marBottom w:val="0"/>
          <w:divBdr>
            <w:top w:val="none" w:sz="0" w:space="0" w:color="auto"/>
            <w:left w:val="none" w:sz="0" w:space="0" w:color="auto"/>
            <w:bottom w:val="none" w:sz="0" w:space="0" w:color="auto"/>
            <w:right w:val="none" w:sz="0" w:space="0" w:color="auto"/>
          </w:divBdr>
        </w:div>
        <w:div w:id="186531897">
          <w:marLeft w:val="360"/>
          <w:marRight w:val="0"/>
          <w:marTop w:val="200"/>
          <w:marBottom w:val="0"/>
          <w:divBdr>
            <w:top w:val="none" w:sz="0" w:space="0" w:color="auto"/>
            <w:left w:val="none" w:sz="0" w:space="0" w:color="auto"/>
            <w:bottom w:val="none" w:sz="0" w:space="0" w:color="auto"/>
            <w:right w:val="none" w:sz="0" w:space="0" w:color="auto"/>
          </w:divBdr>
        </w:div>
        <w:div w:id="1219051620">
          <w:marLeft w:val="360"/>
          <w:marRight w:val="0"/>
          <w:marTop w:val="200"/>
          <w:marBottom w:val="0"/>
          <w:divBdr>
            <w:top w:val="none" w:sz="0" w:space="0" w:color="auto"/>
            <w:left w:val="none" w:sz="0" w:space="0" w:color="auto"/>
            <w:bottom w:val="none" w:sz="0" w:space="0" w:color="auto"/>
            <w:right w:val="none" w:sz="0" w:space="0" w:color="auto"/>
          </w:divBdr>
        </w:div>
        <w:div w:id="1114639277">
          <w:marLeft w:val="360"/>
          <w:marRight w:val="0"/>
          <w:marTop w:val="200"/>
          <w:marBottom w:val="0"/>
          <w:divBdr>
            <w:top w:val="none" w:sz="0" w:space="0" w:color="auto"/>
            <w:left w:val="none" w:sz="0" w:space="0" w:color="auto"/>
            <w:bottom w:val="none" w:sz="0" w:space="0" w:color="auto"/>
            <w:right w:val="none" w:sz="0" w:space="0" w:color="auto"/>
          </w:divBdr>
        </w:div>
        <w:div w:id="1056972712">
          <w:marLeft w:val="360"/>
          <w:marRight w:val="0"/>
          <w:marTop w:val="200"/>
          <w:marBottom w:val="0"/>
          <w:divBdr>
            <w:top w:val="none" w:sz="0" w:space="0" w:color="auto"/>
            <w:left w:val="none" w:sz="0" w:space="0" w:color="auto"/>
            <w:bottom w:val="none" w:sz="0" w:space="0" w:color="auto"/>
            <w:right w:val="none" w:sz="0" w:space="0" w:color="auto"/>
          </w:divBdr>
        </w:div>
      </w:divsChild>
    </w:div>
    <w:div w:id="405038328">
      <w:bodyDiv w:val="1"/>
      <w:marLeft w:val="0"/>
      <w:marRight w:val="0"/>
      <w:marTop w:val="0"/>
      <w:marBottom w:val="0"/>
      <w:divBdr>
        <w:top w:val="none" w:sz="0" w:space="0" w:color="auto"/>
        <w:left w:val="none" w:sz="0" w:space="0" w:color="auto"/>
        <w:bottom w:val="none" w:sz="0" w:space="0" w:color="auto"/>
        <w:right w:val="none" w:sz="0" w:space="0" w:color="auto"/>
      </w:divBdr>
    </w:div>
    <w:div w:id="481390808">
      <w:bodyDiv w:val="1"/>
      <w:marLeft w:val="0"/>
      <w:marRight w:val="0"/>
      <w:marTop w:val="0"/>
      <w:marBottom w:val="0"/>
      <w:divBdr>
        <w:top w:val="none" w:sz="0" w:space="0" w:color="auto"/>
        <w:left w:val="none" w:sz="0" w:space="0" w:color="auto"/>
        <w:bottom w:val="none" w:sz="0" w:space="0" w:color="auto"/>
        <w:right w:val="none" w:sz="0" w:space="0" w:color="auto"/>
      </w:divBdr>
    </w:div>
    <w:div w:id="589970458">
      <w:bodyDiv w:val="1"/>
      <w:marLeft w:val="0"/>
      <w:marRight w:val="0"/>
      <w:marTop w:val="0"/>
      <w:marBottom w:val="0"/>
      <w:divBdr>
        <w:top w:val="none" w:sz="0" w:space="0" w:color="auto"/>
        <w:left w:val="none" w:sz="0" w:space="0" w:color="auto"/>
        <w:bottom w:val="none" w:sz="0" w:space="0" w:color="auto"/>
        <w:right w:val="none" w:sz="0" w:space="0" w:color="auto"/>
      </w:divBdr>
    </w:div>
    <w:div w:id="653686687">
      <w:bodyDiv w:val="1"/>
      <w:marLeft w:val="0"/>
      <w:marRight w:val="0"/>
      <w:marTop w:val="0"/>
      <w:marBottom w:val="0"/>
      <w:divBdr>
        <w:top w:val="none" w:sz="0" w:space="0" w:color="auto"/>
        <w:left w:val="none" w:sz="0" w:space="0" w:color="auto"/>
        <w:bottom w:val="none" w:sz="0" w:space="0" w:color="auto"/>
        <w:right w:val="none" w:sz="0" w:space="0" w:color="auto"/>
      </w:divBdr>
      <w:divsChild>
        <w:div w:id="885873143">
          <w:marLeft w:val="360"/>
          <w:marRight w:val="0"/>
          <w:marTop w:val="200"/>
          <w:marBottom w:val="0"/>
          <w:divBdr>
            <w:top w:val="none" w:sz="0" w:space="0" w:color="auto"/>
            <w:left w:val="none" w:sz="0" w:space="0" w:color="auto"/>
            <w:bottom w:val="none" w:sz="0" w:space="0" w:color="auto"/>
            <w:right w:val="none" w:sz="0" w:space="0" w:color="auto"/>
          </w:divBdr>
        </w:div>
        <w:div w:id="2089691199">
          <w:marLeft w:val="360"/>
          <w:marRight w:val="0"/>
          <w:marTop w:val="200"/>
          <w:marBottom w:val="0"/>
          <w:divBdr>
            <w:top w:val="none" w:sz="0" w:space="0" w:color="auto"/>
            <w:left w:val="none" w:sz="0" w:space="0" w:color="auto"/>
            <w:bottom w:val="none" w:sz="0" w:space="0" w:color="auto"/>
            <w:right w:val="none" w:sz="0" w:space="0" w:color="auto"/>
          </w:divBdr>
        </w:div>
        <w:div w:id="1294015874">
          <w:marLeft w:val="360"/>
          <w:marRight w:val="0"/>
          <w:marTop w:val="200"/>
          <w:marBottom w:val="0"/>
          <w:divBdr>
            <w:top w:val="none" w:sz="0" w:space="0" w:color="auto"/>
            <w:left w:val="none" w:sz="0" w:space="0" w:color="auto"/>
            <w:bottom w:val="none" w:sz="0" w:space="0" w:color="auto"/>
            <w:right w:val="none" w:sz="0" w:space="0" w:color="auto"/>
          </w:divBdr>
        </w:div>
        <w:div w:id="1135290917">
          <w:marLeft w:val="360"/>
          <w:marRight w:val="0"/>
          <w:marTop w:val="200"/>
          <w:marBottom w:val="0"/>
          <w:divBdr>
            <w:top w:val="none" w:sz="0" w:space="0" w:color="auto"/>
            <w:left w:val="none" w:sz="0" w:space="0" w:color="auto"/>
            <w:bottom w:val="none" w:sz="0" w:space="0" w:color="auto"/>
            <w:right w:val="none" w:sz="0" w:space="0" w:color="auto"/>
          </w:divBdr>
        </w:div>
        <w:div w:id="628049002">
          <w:marLeft w:val="360"/>
          <w:marRight w:val="0"/>
          <w:marTop w:val="200"/>
          <w:marBottom w:val="0"/>
          <w:divBdr>
            <w:top w:val="none" w:sz="0" w:space="0" w:color="auto"/>
            <w:left w:val="none" w:sz="0" w:space="0" w:color="auto"/>
            <w:bottom w:val="none" w:sz="0" w:space="0" w:color="auto"/>
            <w:right w:val="none" w:sz="0" w:space="0" w:color="auto"/>
          </w:divBdr>
        </w:div>
        <w:div w:id="1332180494">
          <w:marLeft w:val="360"/>
          <w:marRight w:val="0"/>
          <w:marTop w:val="200"/>
          <w:marBottom w:val="0"/>
          <w:divBdr>
            <w:top w:val="none" w:sz="0" w:space="0" w:color="auto"/>
            <w:left w:val="none" w:sz="0" w:space="0" w:color="auto"/>
            <w:bottom w:val="none" w:sz="0" w:space="0" w:color="auto"/>
            <w:right w:val="none" w:sz="0" w:space="0" w:color="auto"/>
          </w:divBdr>
        </w:div>
      </w:divsChild>
    </w:div>
    <w:div w:id="671101686">
      <w:bodyDiv w:val="1"/>
      <w:marLeft w:val="0"/>
      <w:marRight w:val="0"/>
      <w:marTop w:val="0"/>
      <w:marBottom w:val="0"/>
      <w:divBdr>
        <w:top w:val="none" w:sz="0" w:space="0" w:color="auto"/>
        <w:left w:val="none" w:sz="0" w:space="0" w:color="auto"/>
        <w:bottom w:val="none" w:sz="0" w:space="0" w:color="auto"/>
        <w:right w:val="none" w:sz="0" w:space="0" w:color="auto"/>
      </w:divBdr>
    </w:div>
    <w:div w:id="803816488">
      <w:bodyDiv w:val="1"/>
      <w:marLeft w:val="0"/>
      <w:marRight w:val="0"/>
      <w:marTop w:val="0"/>
      <w:marBottom w:val="0"/>
      <w:divBdr>
        <w:top w:val="none" w:sz="0" w:space="0" w:color="auto"/>
        <w:left w:val="none" w:sz="0" w:space="0" w:color="auto"/>
        <w:bottom w:val="none" w:sz="0" w:space="0" w:color="auto"/>
        <w:right w:val="none" w:sz="0" w:space="0" w:color="auto"/>
      </w:divBdr>
    </w:div>
    <w:div w:id="838615833">
      <w:bodyDiv w:val="1"/>
      <w:marLeft w:val="0"/>
      <w:marRight w:val="0"/>
      <w:marTop w:val="0"/>
      <w:marBottom w:val="0"/>
      <w:divBdr>
        <w:top w:val="none" w:sz="0" w:space="0" w:color="auto"/>
        <w:left w:val="none" w:sz="0" w:space="0" w:color="auto"/>
        <w:bottom w:val="none" w:sz="0" w:space="0" w:color="auto"/>
        <w:right w:val="none" w:sz="0" w:space="0" w:color="auto"/>
      </w:divBdr>
      <w:divsChild>
        <w:div w:id="674573277">
          <w:marLeft w:val="0"/>
          <w:marRight w:val="0"/>
          <w:marTop w:val="0"/>
          <w:marBottom w:val="0"/>
          <w:divBdr>
            <w:top w:val="none" w:sz="0" w:space="0" w:color="auto"/>
            <w:left w:val="none" w:sz="0" w:space="0" w:color="auto"/>
            <w:bottom w:val="none" w:sz="0" w:space="0" w:color="auto"/>
            <w:right w:val="none" w:sz="0" w:space="0" w:color="auto"/>
          </w:divBdr>
          <w:divsChild>
            <w:div w:id="2144738093">
              <w:marLeft w:val="0"/>
              <w:marRight w:val="0"/>
              <w:marTop w:val="0"/>
              <w:marBottom w:val="0"/>
              <w:divBdr>
                <w:top w:val="none" w:sz="0" w:space="0" w:color="auto"/>
                <w:left w:val="none" w:sz="0" w:space="0" w:color="auto"/>
                <w:bottom w:val="none" w:sz="0" w:space="0" w:color="auto"/>
                <w:right w:val="none" w:sz="0" w:space="0" w:color="auto"/>
              </w:divBdr>
              <w:divsChild>
                <w:div w:id="322970820">
                  <w:marLeft w:val="0"/>
                  <w:marRight w:val="0"/>
                  <w:marTop w:val="0"/>
                  <w:marBottom w:val="0"/>
                  <w:divBdr>
                    <w:top w:val="none" w:sz="0" w:space="0" w:color="auto"/>
                    <w:left w:val="none" w:sz="0" w:space="0" w:color="auto"/>
                    <w:bottom w:val="none" w:sz="0" w:space="0" w:color="auto"/>
                    <w:right w:val="none" w:sz="0" w:space="0" w:color="auto"/>
                  </w:divBdr>
                  <w:divsChild>
                    <w:div w:id="251623796">
                      <w:marLeft w:val="0"/>
                      <w:marRight w:val="0"/>
                      <w:marTop w:val="0"/>
                      <w:marBottom w:val="0"/>
                      <w:divBdr>
                        <w:top w:val="none" w:sz="0" w:space="0" w:color="auto"/>
                        <w:left w:val="none" w:sz="0" w:space="0" w:color="auto"/>
                        <w:bottom w:val="none" w:sz="0" w:space="0" w:color="auto"/>
                        <w:right w:val="none" w:sz="0" w:space="0" w:color="auto"/>
                      </w:divBdr>
                      <w:divsChild>
                        <w:div w:id="312372942">
                          <w:marLeft w:val="0"/>
                          <w:marRight w:val="0"/>
                          <w:marTop w:val="0"/>
                          <w:marBottom w:val="0"/>
                          <w:divBdr>
                            <w:top w:val="none" w:sz="0" w:space="0" w:color="auto"/>
                            <w:left w:val="none" w:sz="0" w:space="0" w:color="auto"/>
                            <w:bottom w:val="none" w:sz="0" w:space="0" w:color="auto"/>
                            <w:right w:val="none" w:sz="0" w:space="0" w:color="auto"/>
                          </w:divBdr>
                          <w:divsChild>
                            <w:div w:id="1000618555">
                              <w:marLeft w:val="0"/>
                              <w:marRight w:val="0"/>
                              <w:marTop w:val="0"/>
                              <w:marBottom w:val="0"/>
                              <w:divBdr>
                                <w:top w:val="none" w:sz="0" w:space="0" w:color="auto"/>
                                <w:left w:val="none" w:sz="0" w:space="0" w:color="auto"/>
                                <w:bottom w:val="none" w:sz="0" w:space="0" w:color="auto"/>
                                <w:right w:val="none" w:sz="0" w:space="0" w:color="auto"/>
                              </w:divBdr>
                              <w:divsChild>
                                <w:div w:id="1673946514">
                                  <w:marLeft w:val="0"/>
                                  <w:marRight w:val="0"/>
                                  <w:marTop w:val="0"/>
                                  <w:marBottom w:val="0"/>
                                  <w:divBdr>
                                    <w:top w:val="none" w:sz="0" w:space="0" w:color="auto"/>
                                    <w:left w:val="none" w:sz="0" w:space="0" w:color="auto"/>
                                    <w:bottom w:val="none" w:sz="0" w:space="0" w:color="auto"/>
                                    <w:right w:val="none" w:sz="0" w:space="0" w:color="auto"/>
                                  </w:divBdr>
                                  <w:divsChild>
                                    <w:div w:id="1170752115">
                                      <w:marLeft w:val="0"/>
                                      <w:marRight w:val="0"/>
                                      <w:marTop w:val="0"/>
                                      <w:marBottom w:val="0"/>
                                      <w:divBdr>
                                        <w:top w:val="none" w:sz="0" w:space="0" w:color="auto"/>
                                        <w:left w:val="none" w:sz="0" w:space="0" w:color="auto"/>
                                        <w:bottom w:val="none" w:sz="0" w:space="0" w:color="auto"/>
                                        <w:right w:val="none" w:sz="0" w:space="0" w:color="auto"/>
                                      </w:divBdr>
                                      <w:divsChild>
                                        <w:div w:id="577400578">
                                          <w:marLeft w:val="0"/>
                                          <w:marRight w:val="0"/>
                                          <w:marTop w:val="0"/>
                                          <w:marBottom w:val="0"/>
                                          <w:divBdr>
                                            <w:top w:val="none" w:sz="0" w:space="0" w:color="auto"/>
                                            <w:left w:val="none" w:sz="0" w:space="0" w:color="auto"/>
                                            <w:bottom w:val="none" w:sz="0" w:space="0" w:color="auto"/>
                                            <w:right w:val="none" w:sz="0" w:space="0" w:color="auto"/>
                                          </w:divBdr>
                                          <w:divsChild>
                                            <w:div w:id="719135634">
                                              <w:marLeft w:val="0"/>
                                              <w:marRight w:val="0"/>
                                              <w:marTop w:val="0"/>
                                              <w:marBottom w:val="0"/>
                                              <w:divBdr>
                                                <w:top w:val="none" w:sz="0" w:space="0" w:color="auto"/>
                                                <w:left w:val="none" w:sz="0" w:space="0" w:color="auto"/>
                                                <w:bottom w:val="none" w:sz="0" w:space="0" w:color="auto"/>
                                                <w:right w:val="none" w:sz="0" w:space="0" w:color="auto"/>
                                              </w:divBdr>
                                              <w:divsChild>
                                                <w:div w:id="1796635778">
                                                  <w:marLeft w:val="0"/>
                                                  <w:marRight w:val="0"/>
                                                  <w:marTop w:val="0"/>
                                                  <w:marBottom w:val="0"/>
                                                  <w:divBdr>
                                                    <w:top w:val="none" w:sz="0" w:space="0" w:color="auto"/>
                                                    <w:left w:val="none" w:sz="0" w:space="0" w:color="auto"/>
                                                    <w:bottom w:val="none" w:sz="0" w:space="0" w:color="auto"/>
                                                    <w:right w:val="none" w:sz="0" w:space="0" w:color="auto"/>
                                                  </w:divBdr>
                                                  <w:divsChild>
                                                    <w:div w:id="84883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64320">
                                          <w:marLeft w:val="0"/>
                                          <w:marRight w:val="0"/>
                                          <w:marTop w:val="0"/>
                                          <w:marBottom w:val="0"/>
                                          <w:divBdr>
                                            <w:top w:val="none" w:sz="0" w:space="0" w:color="auto"/>
                                            <w:left w:val="none" w:sz="0" w:space="0" w:color="auto"/>
                                            <w:bottom w:val="none" w:sz="0" w:space="0" w:color="auto"/>
                                            <w:right w:val="none" w:sz="0" w:space="0" w:color="auto"/>
                                          </w:divBdr>
                                          <w:divsChild>
                                            <w:div w:id="1872842481">
                                              <w:marLeft w:val="0"/>
                                              <w:marRight w:val="0"/>
                                              <w:marTop w:val="0"/>
                                              <w:marBottom w:val="0"/>
                                              <w:divBdr>
                                                <w:top w:val="none" w:sz="0" w:space="0" w:color="auto"/>
                                                <w:left w:val="none" w:sz="0" w:space="0" w:color="auto"/>
                                                <w:bottom w:val="none" w:sz="0" w:space="0" w:color="auto"/>
                                                <w:right w:val="none" w:sz="0" w:space="0" w:color="auto"/>
                                              </w:divBdr>
                                              <w:divsChild>
                                                <w:div w:id="128006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0595213">
          <w:marLeft w:val="0"/>
          <w:marRight w:val="0"/>
          <w:marTop w:val="0"/>
          <w:marBottom w:val="0"/>
          <w:divBdr>
            <w:top w:val="none" w:sz="0" w:space="0" w:color="auto"/>
            <w:left w:val="none" w:sz="0" w:space="0" w:color="auto"/>
            <w:bottom w:val="none" w:sz="0" w:space="0" w:color="auto"/>
            <w:right w:val="none" w:sz="0" w:space="0" w:color="auto"/>
          </w:divBdr>
          <w:divsChild>
            <w:div w:id="1389037255">
              <w:marLeft w:val="0"/>
              <w:marRight w:val="0"/>
              <w:marTop w:val="0"/>
              <w:marBottom w:val="0"/>
              <w:divBdr>
                <w:top w:val="none" w:sz="0" w:space="0" w:color="auto"/>
                <w:left w:val="none" w:sz="0" w:space="0" w:color="auto"/>
                <w:bottom w:val="none" w:sz="0" w:space="0" w:color="auto"/>
                <w:right w:val="none" w:sz="0" w:space="0" w:color="auto"/>
              </w:divBdr>
              <w:divsChild>
                <w:div w:id="527063709">
                  <w:marLeft w:val="0"/>
                  <w:marRight w:val="0"/>
                  <w:marTop w:val="0"/>
                  <w:marBottom w:val="0"/>
                  <w:divBdr>
                    <w:top w:val="none" w:sz="0" w:space="0" w:color="auto"/>
                    <w:left w:val="none" w:sz="0" w:space="0" w:color="auto"/>
                    <w:bottom w:val="none" w:sz="0" w:space="0" w:color="auto"/>
                    <w:right w:val="none" w:sz="0" w:space="0" w:color="auto"/>
                  </w:divBdr>
                  <w:divsChild>
                    <w:div w:id="638460591">
                      <w:marLeft w:val="0"/>
                      <w:marRight w:val="0"/>
                      <w:marTop w:val="0"/>
                      <w:marBottom w:val="0"/>
                      <w:divBdr>
                        <w:top w:val="none" w:sz="0" w:space="0" w:color="auto"/>
                        <w:left w:val="none" w:sz="0" w:space="0" w:color="auto"/>
                        <w:bottom w:val="none" w:sz="0" w:space="0" w:color="auto"/>
                        <w:right w:val="none" w:sz="0" w:space="0" w:color="auto"/>
                      </w:divBdr>
                      <w:divsChild>
                        <w:div w:id="74253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704072">
      <w:bodyDiv w:val="1"/>
      <w:marLeft w:val="0"/>
      <w:marRight w:val="0"/>
      <w:marTop w:val="0"/>
      <w:marBottom w:val="0"/>
      <w:divBdr>
        <w:top w:val="none" w:sz="0" w:space="0" w:color="auto"/>
        <w:left w:val="none" w:sz="0" w:space="0" w:color="auto"/>
        <w:bottom w:val="none" w:sz="0" w:space="0" w:color="auto"/>
        <w:right w:val="none" w:sz="0" w:space="0" w:color="auto"/>
      </w:divBdr>
    </w:div>
    <w:div w:id="863445212">
      <w:bodyDiv w:val="1"/>
      <w:marLeft w:val="0"/>
      <w:marRight w:val="0"/>
      <w:marTop w:val="0"/>
      <w:marBottom w:val="0"/>
      <w:divBdr>
        <w:top w:val="none" w:sz="0" w:space="0" w:color="auto"/>
        <w:left w:val="none" w:sz="0" w:space="0" w:color="auto"/>
        <w:bottom w:val="none" w:sz="0" w:space="0" w:color="auto"/>
        <w:right w:val="none" w:sz="0" w:space="0" w:color="auto"/>
      </w:divBdr>
    </w:div>
    <w:div w:id="921525322">
      <w:bodyDiv w:val="1"/>
      <w:marLeft w:val="0"/>
      <w:marRight w:val="0"/>
      <w:marTop w:val="0"/>
      <w:marBottom w:val="0"/>
      <w:divBdr>
        <w:top w:val="none" w:sz="0" w:space="0" w:color="auto"/>
        <w:left w:val="none" w:sz="0" w:space="0" w:color="auto"/>
        <w:bottom w:val="none" w:sz="0" w:space="0" w:color="auto"/>
        <w:right w:val="none" w:sz="0" w:space="0" w:color="auto"/>
      </w:divBdr>
    </w:div>
    <w:div w:id="1077358654">
      <w:bodyDiv w:val="1"/>
      <w:marLeft w:val="0"/>
      <w:marRight w:val="0"/>
      <w:marTop w:val="0"/>
      <w:marBottom w:val="0"/>
      <w:divBdr>
        <w:top w:val="none" w:sz="0" w:space="0" w:color="auto"/>
        <w:left w:val="none" w:sz="0" w:space="0" w:color="auto"/>
        <w:bottom w:val="none" w:sz="0" w:space="0" w:color="auto"/>
        <w:right w:val="none" w:sz="0" w:space="0" w:color="auto"/>
      </w:divBdr>
      <w:divsChild>
        <w:div w:id="1389455532">
          <w:marLeft w:val="0"/>
          <w:marRight w:val="0"/>
          <w:marTop w:val="0"/>
          <w:marBottom w:val="0"/>
          <w:divBdr>
            <w:top w:val="none" w:sz="0" w:space="0" w:color="auto"/>
            <w:left w:val="none" w:sz="0" w:space="0" w:color="auto"/>
            <w:bottom w:val="none" w:sz="0" w:space="0" w:color="auto"/>
            <w:right w:val="none" w:sz="0" w:space="0" w:color="auto"/>
          </w:divBdr>
          <w:divsChild>
            <w:div w:id="984821555">
              <w:marLeft w:val="0"/>
              <w:marRight w:val="0"/>
              <w:marTop w:val="0"/>
              <w:marBottom w:val="0"/>
              <w:divBdr>
                <w:top w:val="none" w:sz="0" w:space="0" w:color="auto"/>
                <w:left w:val="none" w:sz="0" w:space="0" w:color="auto"/>
                <w:bottom w:val="none" w:sz="0" w:space="0" w:color="auto"/>
                <w:right w:val="none" w:sz="0" w:space="0" w:color="auto"/>
              </w:divBdr>
              <w:divsChild>
                <w:div w:id="1053236094">
                  <w:marLeft w:val="0"/>
                  <w:marRight w:val="0"/>
                  <w:marTop w:val="0"/>
                  <w:marBottom w:val="0"/>
                  <w:divBdr>
                    <w:top w:val="none" w:sz="0" w:space="0" w:color="auto"/>
                    <w:left w:val="none" w:sz="0" w:space="0" w:color="auto"/>
                    <w:bottom w:val="none" w:sz="0" w:space="0" w:color="auto"/>
                    <w:right w:val="none" w:sz="0" w:space="0" w:color="auto"/>
                  </w:divBdr>
                  <w:divsChild>
                    <w:div w:id="1871650966">
                      <w:marLeft w:val="0"/>
                      <w:marRight w:val="0"/>
                      <w:marTop w:val="0"/>
                      <w:marBottom w:val="0"/>
                      <w:divBdr>
                        <w:top w:val="none" w:sz="0" w:space="0" w:color="auto"/>
                        <w:left w:val="none" w:sz="0" w:space="0" w:color="auto"/>
                        <w:bottom w:val="none" w:sz="0" w:space="0" w:color="auto"/>
                        <w:right w:val="none" w:sz="0" w:space="0" w:color="auto"/>
                      </w:divBdr>
                      <w:divsChild>
                        <w:div w:id="2013682918">
                          <w:marLeft w:val="0"/>
                          <w:marRight w:val="0"/>
                          <w:marTop w:val="0"/>
                          <w:marBottom w:val="0"/>
                          <w:divBdr>
                            <w:top w:val="none" w:sz="0" w:space="0" w:color="auto"/>
                            <w:left w:val="none" w:sz="0" w:space="0" w:color="auto"/>
                            <w:bottom w:val="none" w:sz="0" w:space="0" w:color="auto"/>
                            <w:right w:val="none" w:sz="0" w:space="0" w:color="auto"/>
                          </w:divBdr>
                          <w:divsChild>
                            <w:div w:id="681201256">
                              <w:marLeft w:val="0"/>
                              <w:marRight w:val="0"/>
                              <w:marTop w:val="0"/>
                              <w:marBottom w:val="0"/>
                              <w:divBdr>
                                <w:top w:val="none" w:sz="0" w:space="0" w:color="auto"/>
                                <w:left w:val="none" w:sz="0" w:space="0" w:color="auto"/>
                                <w:bottom w:val="none" w:sz="0" w:space="0" w:color="auto"/>
                                <w:right w:val="none" w:sz="0" w:space="0" w:color="auto"/>
                              </w:divBdr>
                              <w:divsChild>
                                <w:div w:id="1986857812">
                                  <w:marLeft w:val="0"/>
                                  <w:marRight w:val="0"/>
                                  <w:marTop w:val="0"/>
                                  <w:marBottom w:val="0"/>
                                  <w:divBdr>
                                    <w:top w:val="none" w:sz="0" w:space="0" w:color="auto"/>
                                    <w:left w:val="none" w:sz="0" w:space="0" w:color="auto"/>
                                    <w:bottom w:val="none" w:sz="0" w:space="0" w:color="auto"/>
                                    <w:right w:val="none" w:sz="0" w:space="0" w:color="auto"/>
                                  </w:divBdr>
                                  <w:divsChild>
                                    <w:div w:id="169353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48978">
                          <w:marLeft w:val="0"/>
                          <w:marRight w:val="0"/>
                          <w:marTop w:val="0"/>
                          <w:marBottom w:val="0"/>
                          <w:divBdr>
                            <w:top w:val="none" w:sz="0" w:space="0" w:color="auto"/>
                            <w:left w:val="none" w:sz="0" w:space="0" w:color="auto"/>
                            <w:bottom w:val="none" w:sz="0" w:space="0" w:color="auto"/>
                            <w:right w:val="none" w:sz="0" w:space="0" w:color="auto"/>
                          </w:divBdr>
                          <w:divsChild>
                            <w:div w:id="1221206788">
                              <w:marLeft w:val="0"/>
                              <w:marRight w:val="0"/>
                              <w:marTop w:val="0"/>
                              <w:marBottom w:val="0"/>
                              <w:divBdr>
                                <w:top w:val="none" w:sz="0" w:space="0" w:color="auto"/>
                                <w:left w:val="none" w:sz="0" w:space="0" w:color="auto"/>
                                <w:bottom w:val="none" w:sz="0" w:space="0" w:color="auto"/>
                                <w:right w:val="none" w:sz="0" w:space="0" w:color="auto"/>
                              </w:divBdr>
                              <w:divsChild>
                                <w:div w:id="18036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6919857">
      <w:bodyDiv w:val="1"/>
      <w:marLeft w:val="0"/>
      <w:marRight w:val="0"/>
      <w:marTop w:val="0"/>
      <w:marBottom w:val="0"/>
      <w:divBdr>
        <w:top w:val="none" w:sz="0" w:space="0" w:color="auto"/>
        <w:left w:val="none" w:sz="0" w:space="0" w:color="auto"/>
        <w:bottom w:val="none" w:sz="0" w:space="0" w:color="auto"/>
        <w:right w:val="none" w:sz="0" w:space="0" w:color="auto"/>
      </w:divBdr>
    </w:div>
    <w:div w:id="1089890085">
      <w:bodyDiv w:val="1"/>
      <w:marLeft w:val="0"/>
      <w:marRight w:val="0"/>
      <w:marTop w:val="0"/>
      <w:marBottom w:val="0"/>
      <w:divBdr>
        <w:top w:val="none" w:sz="0" w:space="0" w:color="auto"/>
        <w:left w:val="none" w:sz="0" w:space="0" w:color="auto"/>
        <w:bottom w:val="none" w:sz="0" w:space="0" w:color="auto"/>
        <w:right w:val="none" w:sz="0" w:space="0" w:color="auto"/>
      </w:divBdr>
    </w:div>
    <w:div w:id="1478496066">
      <w:bodyDiv w:val="1"/>
      <w:marLeft w:val="0"/>
      <w:marRight w:val="0"/>
      <w:marTop w:val="0"/>
      <w:marBottom w:val="0"/>
      <w:divBdr>
        <w:top w:val="none" w:sz="0" w:space="0" w:color="auto"/>
        <w:left w:val="none" w:sz="0" w:space="0" w:color="auto"/>
        <w:bottom w:val="none" w:sz="0" w:space="0" w:color="auto"/>
        <w:right w:val="none" w:sz="0" w:space="0" w:color="auto"/>
      </w:divBdr>
    </w:div>
    <w:div w:id="1480079153">
      <w:bodyDiv w:val="1"/>
      <w:marLeft w:val="0"/>
      <w:marRight w:val="0"/>
      <w:marTop w:val="0"/>
      <w:marBottom w:val="0"/>
      <w:divBdr>
        <w:top w:val="none" w:sz="0" w:space="0" w:color="auto"/>
        <w:left w:val="none" w:sz="0" w:space="0" w:color="auto"/>
        <w:bottom w:val="none" w:sz="0" w:space="0" w:color="auto"/>
        <w:right w:val="none" w:sz="0" w:space="0" w:color="auto"/>
      </w:divBdr>
    </w:div>
    <w:div w:id="1511329549">
      <w:bodyDiv w:val="1"/>
      <w:marLeft w:val="0"/>
      <w:marRight w:val="0"/>
      <w:marTop w:val="0"/>
      <w:marBottom w:val="0"/>
      <w:divBdr>
        <w:top w:val="none" w:sz="0" w:space="0" w:color="auto"/>
        <w:left w:val="none" w:sz="0" w:space="0" w:color="auto"/>
        <w:bottom w:val="none" w:sz="0" w:space="0" w:color="auto"/>
        <w:right w:val="none" w:sz="0" w:space="0" w:color="auto"/>
      </w:divBdr>
    </w:div>
    <w:div w:id="1668172591">
      <w:bodyDiv w:val="1"/>
      <w:marLeft w:val="0"/>
      <w:marRight w:val="0"/>
      <w:marTop w:val="0"/>
      <w:marBottom w:val="0"/>
      <w:divBdr>
        <w:top w:val="none" w:sz="0" w:space="0" w:color="auto"/>
        <w:left w:val="none" w:sz="0" w:space="0" w:color="auto"/>
        <w:bottom w:val="none" w:sz="0" w:space="0" w:color="auto"/>
        <w:right w:val="none" w:sz="0" w:space="0" w:color="auto"/>
      </w:divBdr>
    </w:div>
    <w:div w:id="1698043132">
      <w:bodyDiv w:val="1"/>
      <w:marLeft w:val="0"/>
      <w:marRight w:val="0"/>
      <w:marTop w:val="0"/>
      <w:marBottom w:val="0"/>
      <w:divBdr>
        <w:top w:val="none" w:sz="0" w:space="0" w:color="auto"/>
        <w:left w:val="none" w:sz="0" w:space="0" w:color="auto"/>
        <w:bottom w:val="none" w:sz="0" w:space="0" w:color="auto"/>
        <w:right w:val="none" w:sz="0" w:space="0" w:color="auto"/>
      </w:divBdr>
      <w:divsChild>
        <w:div w:id="1181822506">
          <w:marLeft w:val="360"/>
          <w:marRight w:val="0"/>
          <w:marTop w:val="200"/>
          <w:marBottom w:val="0"/>
          <w:divBdr>
            <w:top w:val="none" w:sz="0" w:space="0" w:color="auto"/>
            <w:left w:val="none" w:sz="0" w:space="0" w:color="auto"/>
            <w:bottom w:val="none" w:sz="0" w:space="0" w:color="auto"/>
            <w:right w:val="none" w:sz="0" w:space="0" w:color="auto"/>
          </w:divBdr>
        </w:div>
        <w:div w:id="6298351">
          <w:marLeft w:val="360"/>
          <w:marRight w:val="0"/>
          <w:marTop w:val="200"/>
          <w:marBottom w:val="0"/>
          <w:divBdr>
            <w:top w:val="none" w:sz="0" w:space="0" w:color="auto"/>
            <w:left w:val="none" w:sz="0" w:space="0" w:color="auto"/>
            <w:bottom w:val="none" w:sz="0" w:space="0" w:color="auto"/>
            <w:right w:val="none" w:sz="0" w:space="0" w:color="auto"/>
          </w:divBdr>
        </w:div>
        <w:div w:id="442500047">
          <w:marLeft w:val="360"/>
          <w:marRight w:val="0"/>
          <w:marTop w:val="200"/>
          <w:marBottom w:val="0"/>
          <w:divBdr>
            <w:top w:val="none" w:sz="0" w:space="0" w:color="auto"/>
            <w:left w:val="none" w:sz="0" w:space="0" w:color="auto"/>
            <w:bottom w:val="none" w:sz="0" w:space="0" w:color="auto"/>
            <w:right w:val="none" w:sz="0" w:space="0" w:color="auto"/>
          </w:divBdr>
        </w:div>
        <w:div w:id="1743601664">
          <w:marLeft w:val="360"/>
          <w:marRight w:val="0"/>
          <w:marTop w:val="200"/>
          <w:marBottom w:val="0"/>
          <w:divBdr>
            <w:top w:val="none" w:sz="0" w:space="0" w:color="auto"/>
            <w:left w:val="none" w:sz="0" w:space="0" w:color="auto"/>
            <w:bottom w:val="none" w:sz="0" w:space="0" w:color="auto"/>
            <w:right w:val="none" w:sz="0" w:space="0" w:color="auto"/>
          </w:divBdr>
        </w:div>
        <w:div w:id="147870881">
          <w:marLeft w:val="360"/>
          <w:marRight w:val="0"/>
          <w:marTop w:val="200"/>
          <w:marBottom w:val="0"/>
          <w:divBdr>
            <w:top w:val="none" w:sz="0" w:space="0" w:color="auto"/>
            <w:left w:val="none" w:sz="0" w:space="0" w:color="auto"/>
            <w:bottom w:val="none" w:sz="0" w:space="0" w:color="auto"/>
            <w:right w:val="none" w:sz="0" w:space="0" w:color="auto"/>
          </w:divBdr>
        </w:div>
        <w:div w:id="1090156375">
          <w:marLeft w:val="360"/>
          <w:marRight w:val="0"/>
          <w:marTop w:val="200"/>
          <w:marBottom w:val="0"/>
          <w:divBdr>
            <w:top w:val="none" w:sz="0" w:space="0" w:color="auto"/>
            <w:left w:val="none" w:sz="0" w:space="0" w:color="auto"/>
            <w:bottom w:val="none" w:sz="0" w:space="0" w:color="auto"/>
            <w:right w:val="none" w:sz="0" w:space="0" w:color="auto"/>
          </w:divBdr>
        </w:div>
      </w:divsChild>
    </w:div>
    <w:div w:id="1747531052">
      <w:bodyDiv w:val="1"/>
      <w:marLeft w:val="0"/>
      <w:marRight w:val="0"/>
      <w:marTop w:val="0"/>
      <w:marBottom w:val="0"/>
      <w:divBdr>
        <w:top w:val="none" w:sz="0" w:space="0" w:color="auto"/>
        <w:left w:val="none" w:sz="0" w:space="0" w:color="auto"/>
        <w:bottom w:val="none" w:sz="0" w:space="0" w:color="auto"/>
        <w:right w:val="none" w:sz="0" w:space="0" w:color="auto"/>
      </w:divBdr>
    </w:div>
    <w:div w:id="1822236326">
      <w:bodyDiv w:val="1"/>
      <w:marLeft w:val="0"/>
      <w:marRight w:val="0"/>
      <w:marTop w:val="0"/>
      <w:marBottom w:val="0"/>
      <w:divBdr>
        <w:top w:val="none" w:sz="0" w:space="0" w:color="auto"/>
        <w:left w:val="none" w:sz="0" w:space="0" w:color="auto"/>
        <w:bottom w:val="none" w:sz="0" w:space="0" w:color="auto"/>
        <w:right w:val="none" w:sz="0" w:space="0" w:color="auto"/>
      </w:divBdr>
    </w:div>
    <w:div w:id="1909729633">
      <w:bodyDiv w:val="1"/>
      <w:marLeft w:val="0"/>
      <w:marRight w:val="0"/>
      <w:marTop w:val="0"/>
      <w:marBottom w:val="0"/>
      <w:divBdr>
        <w:top w:val="none" w:sz="0" w:space="0" w:color="auto"/>
        <w:left w:val="none" w:sz="0" w:space="0" w:color="auto"/>
        <w:bottom w:val="none" w:sz="0" w:space="0" w:color="auto"/>
        <w:right w:val="none" w:sz="0" w:space="0" w:color="auto"/>
      </w:divBdr>
      <w:divsChild>
        <w:div w:id="1727796325">
          <w:marLeft w:val="360"/>
          <w:marRight w:val="0"/>
          <w:marTop w:val="0"/>
          <w:marBottom w:val="0"/>
          <w:divBdr>
            <w:top w:val="none" w:sz="0" w:space="0" w:color="auto"/>
            <w:left w:val="none" w:sz="0" w:space="0" w:color="auto"/>
            <w:bottom w:val="none" w:sz="0" w:space="0" w:color="auto"/>
            <w:right w:val="none" w:sz="0" w:space="0" w:color="auto"/>
          </w:divBdr>
        </w:div>
        <w:div w:id="1539734366">
          <w:marLeft w:val="360"/>
          <w:marRight w:val="0"/>
          <w:marTop w:val="0"/>
          <w:marBottom w:val="0"/>
          <w:divBdr>
            <w:top w:val="none" w:sz="0" w:space="0" w:color="auto"/>
            <w:left w:val="none" w:sz="0" w:space="0" w:color="auto"/>
            <w:bottom w:val="none" w:sz="0" w:space="0" w:color="auto"/>
            <w:right w:val="none" w:sz="0" w:space="0" w:color="auto"/>
          </w:divBdr>
        </w:div>
        <w:div w:id="1953702270">
          <w:marLeft w:val="360"/>
          <w:marRight w:val="0"/>
          <w:marTop w:val="0"/>
          <w:marBottom w:val="0"/>
          <w:divBdr>
            <w:top w:val="none" w:sz="0" w:space="0" w:color="auto"/>
            <w:left w:val="none" w:sz="0" w:space="0" w:color="auto"/>
            <w:bottom w:val="none" w:sz="0" w:space="0" w:color="auto"/>
            <w:right w:val="none" w:sz="0" w:space="0" w:color="auto"/>
          </w:divBdr>
        </w:div>
        <w:div w:id="597327842">
          <w:marLeft w:val="360"/>
          <w:marRight w:val="0"/>
          <w:marTop w:val="0"/>
          <w:marBottom w:val="0"/>
          <w:divBdr>
            <w:top w:val="none" w:sz="0" w:space="0" w:color="auto"/>
            <w:left w:val="none" w:sz="0" w:space="0" w:color="auto"/>
            <w:bottom w:val="none" w:sz="0" w:space="0" w:color="auto"/>
            <w:right w:val="none" w:sz="0" w:space="0" w:color="auto"/>
          </w:divBdr>
        </w:div>
        <w:div w:id="2098863036">
          <w:marLeft w:val="360"/>
          <w:marRight w:val="0"/>
          <w:marTop w:val="0"/>
          <w:marBottom w:val="0"/>
          <w:divBdr>
            <w:top w:val="none" w:sz="0" w:space="0" w:color="auto"/>
            <w:left w:val="none" w:sz="0" w:space="0" w:color="auto"/>
            <w:bottom w:val="none" w:sz="0" w:space="0" w:color="auto"/>
            <w:right w:val="none" w:sz="0" w:space="0" w:color="auto"/>
          </w:divBdr>
        </w:div>
        <w:div w:id="281814005">
          <w:marLeft w:val="360"/>
          <w:marRight w:val="0"/>
          <w:marTop w:val="0"/>
          <w:marBottom w:val="0"/>
          <w:divBdr>
            <w:top w:val="none" w:sz="0" w:space="0" w:color="auto"/>
            <w:left w:val="none" w:sz="0" w:space="0" w:color="auto"/>
            <w:bottom w:val="none" w:sz="0" w:space="0" w:color="auto"/>
            <w:right w:val="none" w:sz="0" w:space="0" w:color="auto"/>
          </w:divBdr>
        </w:div>
      </w:divsChild>
    </w:div>
    <w:div w:id="2120757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sv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nhsstaffsurveys.com/survey-documents/" TargetMode="External"/><Relationship Id="rId17" Type="http://schemas.openxmlformats.org/officeDocument/2006/relationships/image" Target="media/image6.svg"/><Relationship Id="rId25" Type="http://schemas.openxmlformats.org/officeDocument/2006/relationships/image" Target="media/image14.sv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image" Target="media/image12.sv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sv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www.dgft.nhs.uk/wp-content/uploads/2023/10/EDI-Journey-Action-Plan-202324-updated-oct-23.pdf"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1AA938FE962A45A3E19DCBCF209F91" ma:contentTypeVersion="20" ma:contentTypeDescription="Create a new document." ma:contentTypeScope="" ma:versionID="1d3d8406d16553411b4c18e4e977e216">
  <xsd:schema xmlns:xsd="http://www.w3.org/2001/XMLSchema" xmlns:xs="http://www.w3.org/2001/XMLSchema" xmlns:p="http://schemas.microsoft.com/office/2006/metadata/properties" xmlns:ns1="http://schemas.microsoft.com/sharepoint/v3" xmlns:ns3="5789755c-de38-4fe3-9623-40afa3bba1e2" xmlns:ns4="32678723-8c06-45e1-8bd0-318b9868a43d" targetNamespace="http://schemas.microsoft.com/office/2006/metadata/properties" ma:root="true" ma:fieldsID="260dc4f8fdf6ce30f3f886661920f01c" ns1:_="" ns3:_="" ns4:_="">
    <xsd:import namespace="http://schemas.microsoft.com/sharepoint/v3"/>
    <xsd:import namespace="5789755c-de38-4fe3-9623-40afa3bba1e2"/>
    <xsd:import namespace="32678723-8c06-45e1-8bd0-318b9868a43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Location" minOccurs="0"/>
                <xsd:element ref="ns1:_ip_UnifiedCompliancePolicyProperties" minOccurs="0"/>
                <xsd:element ref="ns1:_ip_UnifiedCompliancePolicyUIAction"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89755c-de38-4fe3-9623-40afa3bba1e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678723-8c06-45e1-8bd0-318b9868a43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ystemTags" ma:index="26" nillable="true" ma:displayName="MediaServiceSystemTags" ma:hidden="true" ma:internalName="MediaServiceSystemTags" ma:readOnly="true">
      <xsd:simpleType>
        <xsd:restriction base="dms:Note"/>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activity xmlns="32678723-8c06-45e1-8bd0-318b9868a43d"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FBC633-4B49-4840-8849-6B0291DFF7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789755c-de38-4fe3-9623-40afa3bba1e2"/>
    <ds:schemaRef ds:uri="32678723-8c06-45e1-8bd0-318b9868a4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328277-6639-4420-9C73-8CB63E35A574}">
  <ds:schemaRefs>
    <ds:schemaRef ds:uri="http://schemas.openxmlformats.org/officeDocument/2006/bibliography"/>
  </ds:schemaRefs>
</ds:datastoreItem>
</file>

<file path=customXml/itemProps3.xml><?xml version="1.0" encoding="utf-8"?>
<ds:datastoreItem xmlns:ds="http://schemas.openxmlformats.org/officeDocument/2006/customXml" ds:itemID="{EFF2C814-A6C8-41BB-8F7A-C86A83BFC400}">
  <ds:schemaRefs>
    <ds:schemaRef ds:uri="http://schemas.microsoft.com/office/2006/metadata/properties"/>
    <ds:schemaRef ds:uri="http://schemas.microsoft.com/office/infopath/2007/PartnerControls"/>
    <ds:schemaRef ds:uri="http://schemas.microsoft.com/sharepoint/v3"/>
    <ds:schemaRef ds:uri="32678723-8c06-45e1-8bd0-318b9868a43d"/>
  </ds:schemaRefs>
</ds:datastoreItem>
</file>

<file path=customXml/itemProps4.xml><?xml version="1.0" encoding="utf-8"?>
<ds:datastoreItem xmlns:ds="http://schemas.openxmlformats.org/officeDocument/2006/customXml" ds:itemID="{4BEF5CC7-CFF4-424C-AFE6-72EF88D98AF1}">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8</TotalTime>
  <Pages>21</Pages>
  <Words>3849</Words>
  <Characters>22563</Characters>
  <Application>Microsoft Office Word</Application>
  <DocSecurity>0</DocSecurity>
  <Lines>771</Lines>
  <Paragraphs>457</Paragraphs>
  <ScaleCrop>false</ScaleCrop>
  <Company/>
  <LinksUpToDate>false</LinksUpToDate>
  <CharactersWithSpaces>26043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COOKE, Becky (THE DUDLEY GROUP NHS FOUNDATION TRUST)</dc:creator>
  <cp:keywords/>
  <dc:description/>
  <cp:lastModifiedBy>COOKE, Becky (THE DUDLEY GROUP NHS FOUNDATION TRUST)</cp:lastModifiedBy>
  <cp:revision>11</cp:revision>
  <dcterms:created xsi:type="dcterms:W3CDTF">2025-08-12T13:11:00Z</dcterms:created>
  <dcterms:modified xsi:type="dcterms:W3CDTF">2025-10-06T09:03:00Z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8961e6b5-c7cd-4f7e-9b79-a9b9aecc609b</vt:lpwstr>
  </property>
  <property fmtid="{D5CDD505-2E9C-101B-9397-08002B2CF9AE}" pid="3" name="ContentTypeId">
    <vt:lpwstr>0x010100831AA938FE962A45A3E19DCBCF209F91</vt:lpwstr>
  </property>
</Properties>
</file>